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32C7" w14:textId="3AA98900" w:rsidR="00CA416A" w:rsidRPr="00162119" w:rsidRDefault="00162119" w:rsidP="00162119">
      <w:pPr>
        <w:spacing w:after="0" w:line="240" w:lineRule="auto"/>
        <w:jc w:val="center"/>
        <w:rPr>
          <w:b/>
          <w:color w:val="0070C0"/>
          <w:sz w:val="40"/>
          <w:szCs w:val="40"/>
        </w:rPr>
      </w:pPr>
      <w:r w:rsidRPr="00162119">
        <w:rPr>
          <w:b/>
          <w:noProof/>
        </w:rPr>
        <w:drawing>
          <wp:anchor distT="0" distB="0" distL="114300" distR="114300" simplePos="0" relativeHeight="251660288" behindDoc="0" locked="0" layoutInCell="1" allowOverlap="1" wp14:anchorId="74395D0C" wp14:editId="52AB7A35">
            <wp:simplePos x="0" y="0"/>
            <wp:positionH relativeFrom="margin">
              <wp:align>right</wp:align>
            </wp:positionH>
            <wp:positionV relativeFrom="paragraph">
              <wp:posOffset>5938</wp:posOffset>
            </wp:positionV>
            <wp:extent cx="1274320" cy="1151906"/>
            <wp:effectExtent l="0" t="0" r="2540" b="0"/>
            <wp:wrapNone/>
            <wp:docPr id="7" name="Picture 2" descr="Image result for nasa mea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age result for nasa meatball"/>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274320" cy="115190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162119">
        <w:rPr>
          <w:b/>
          <w:noProof/>
          <w:color w:val="0070C0"/>
          <w:sz w:val="40"/>
          <w:szCs w:val="40"/>
        </w:rPr>
        <w:drawing>
          <wp:anchor distT="0" distB="0" distL="114300" distR="114300" simplePos="0" relativeHeight="251658240" behindDoc="0" locked="0" layoutInCell="1" allowOverlap="1" wp14:anchorId="719A4F53" wp14:editId="434B0A4F">
            <wp:simplePos x="0" y="0"/>
            <wp:positionH relativeFrom="margin">
              <wp:align>left</wp:align>
            </wp:positionH>
            <wp:positionV relativeFrom="paragraph">
              <wp:posOffset>12370</wp:posOffset>
            </wp:positionV>
            <wp:extent cx="1111771" cy="1306286"/>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771" cy="1306286"/>
                    </a:xfrm>
                    <a:prstGeom prst="rect">
                      <a:avLst/>
                    </a:prstGeom>
                  </pic:spPr>
                </pic:pic>
              </a:graphicData>
            </a:graphic>
            <wp14:sizeRelH relativeFrom="margin">
              <wp14:pctWidth>0</wp14:pctWidth>
            </wp14:sizeRelH>
            <wp14:sizeRelV relativeFrom="margin">
              <wp14:pctHeight>0</wp14:pctHeight>
            </wp14:sizeRelV>
          </wp:anchor>
        </w:drawing>
      </w:r>
      <w:r w:rsidRPr="00162119">
        <w:rPr>
          <w:b/>
          <w:color w:val="0070C0"/>
          <w:sz w:val="40"/>
          <w:szCs w:val="40"/>
        </w:rPr>
        <w:t>Call for Papers</w:t>
      </w:r>
    </w:p>
    <w:p w14:paraId="3D1552E6" w14:textId="797C8971" w:rsidR="00162119" w:rsidRPr="00162119" w:rsidRDefault="00162119" w:rsidP="00162119">
      <w:pPr>
        <w:spacing w:after="0" w:line="240" w:lineRule="auto"/>
        <w:jc w:val="center"/>
        <w:rPr>
          <w:color w:val="0070C0"/>
          <w:sz w:val="32"/>
          <w:szCs w:val="32"/>
        </w:rPr>
      </w:pPr>
      <w:r w:rsidRPr="00162119">
        <w:rPr>
          <w:color w:val="0070C0"/>
          <w:sz w:val="32"/>
          <w:szCs w:val="32"/>
        </w:rPr>
        <w:t>Thermal &amp; Fluids Analysis Workshop (TFAWS) 2018</w:t>
      </w:r>
    </w:p>
    <w:p w14:paraId="51C8672F" w14:textId="1E74A034" w:rsidR="00162119" w:rsidRPr="00162119" w:rsidRDefault="00162119" w:rsidP="00162119">
      <w:pPr>
        <w:spacing w:after="0" w:line="240" w:lineRule="auto"/>
        <w:jc w:val="center"/>
        <w:rPr>
          <w:color w:val="0070C0"/>
          <w:sz w:val="32"/>
          <w:szCs w:val="32"/>
        </w:rPr>
      </w:pPr>
      <w:r w:rsidRPr="00162119">
        <w:rPr>
          <w:color w:val="0070C0"/>
          <w:sz w:val="32"/>
          <w:szCs w:val="32"/>
        </w:rPr>
        <w:t xml:space="preserve">NASA Johnson Space Center </w:t>
      </w:r>
    </w:p>
    <w:p w14:paraId="76FA6FA0" w14:textId="4B0F14C0" w:rsidR="00162119" w:rsidRPr="00162119" w:rsidRDefault="00162119" w:rsidP="00162119">
      <w:pPr>
        <w:spacing w:after="0" w:line="240" w:lineRule="auto"/>
        <w:jc w:val="center"/>
        <w:rPr>
          <w:color w:val="0070C0"/>
          <w:sz w:val="32"/>
          <w:szCs w:val="32"/>
        </w:rPr>
      </w:pPr>
      <w:r w:rsidRPr="00162119">
        <w:rPr>
          <w:color w:val="0070C0"/>
          <w:sz w:val="32"/>
          <w:szCs w:val="32"/>
        </w:rPr>
        <w:t xml:space="preserve">Galveston Island Convention Center </w:t>
      </w:r>
      <w:r w:rsidRPr="00162119">
        <w:rPr>
          <w:rFonts w:cstheme="minorHAnsi"/>
          <w:color w:val="0070C0"/>
          <w:sz w:val="32"/>
          <w:szCs w:val="32"/>
        </w:rPr>
        <w:t>•</w:t>
      </w:r>
      <w:r w:rsidRPr="00162119">
        <w:rPr>
          <w:color w:val="0070C0"/>
          <w:sz w:val="32"/>
          <w:szCs w:val="32"/>
        </w:rPr>
        <w:t xml:space="preserve"> August 20-24</w:t>
      </w:r>
    </w:p>
    <w:p w14:paraId="244B8342" w14:textId="77777777" w:rsidR="00162119" w:rsidRDefault="00162119" w:rsidP="00162119">
      <w:pPr>
        <w:spacing w:after="0" w:line="240" w:lineRule="auto"/>
        <w:jc w:val="center"/>
      </w:pPr>
    </w:p>
    <w:p w14:paraId="4CCECB7E" w14:textId="41ECF616" w:rsidR="00693D03" w:rsidRPr="00162119" w:rsidRDefault="00693D03" w:rsidP="00162119">
      <w:pPr>
        <w:spacing w:after="0" w:line="240" w:lineRule="auto"/>
        <w:jc w:val="center"/>
        <w:rPr>
          <w:b/>
          <w:color w:val="FF0000"/>
          <w:sz w:val="32"/>
          <w:szCs w:val="32"/>
        </w:rPr>
      </w:pPr>
      <w:r w:rsidRPr="00162119">
        <w:rPr>
          <w:b/>
          <w:color w:val="FF0000"/>
          <w:sz w:val="32"/>
          <w:szCs w:val="32"/>
        </w:rPr>
        <w:t>Abstract submission deadline is May 25</w:t>
      </w:r>
      <w:r w:rsidRPr="00162119">
        <w:rPr>
          <w:b/>
          <w:color w:val="FF0000"/>
          <w:sz w:val="32"/>
          <w:szCs w:val="32"/>
          <w:vertAlign w:val="superscript"/>
        </w:rPr>
        <w:t>th</w:t>
      </w:r>
      <w:r w:rsidRPr="00162119">
        <w:rPr>
          <w:b/>
          <w:color w:val="FF0000"/>
          <w:sz w:val="32"/>
          <w:szCs w:val="32"/>
        </w:rPr>
        <w:t>, 2018</w:t>
      </w:r>
    </w:p>
    <w:p w14:paraId="4D5B54A9" w14:textId="77777777" w:rsidR="00162119" w:rsidRDefault="00162119" w:rsidP="00162119">
      <w:pPr>
        <w:spacing w:after="0" w:line="240" w:lineRule="auto"/>
        <w:jc w:val="center"/>
        <w:rPr>
          <w:sz w:val="32"/>
          <w:szCs w:val="32"/>
        </w:rPr>
      </w:pPr>
    </w:p>
    <w:p w14:paraId="1AA10B19" w14:textId="314BFCE4" w:rsidR="00693D03" w:rsidRDefault="00693D03">
      <w:pPr>
        <w:rPr>
          <w:sz w:val="24"/>
          <w:szCs w:val="24"/>
        </w:rPr>
      </w:pPr>
      <w:r>
        <w:rPr>
          <w:sz w:val="24"/>
          <w:szCs w:val="24"/>
        </w:rPr>
        <w:t>The 2018 NASA Thermal &amp; Fluids Analysis Workshop includes presentations of original research and technical work. Paper sessions provide the opportunity for those in the thermal-fluids community to present their work to peers. This allows for great</w:t>
      </w:r>
      <w:r w:rsidR="0047641A">
        <w:rPr>
          <w:sz w:val="24"/>
          <w:szCs w:val="24"/>
        </w:rPr>
        <w:t>er</w:t>
      </w:r>
      <w:r>
        <w:rPr>
          <w:sz w:val="24"/>
          <w:szCs w:val="24"/>
        </w:rPr>
        <w:t xml:space="preserve"> dissemination of technical material within the community and provides a valuable forum for discussion about applications and advancements within various disciplines. </w:t>
      </w:r>
    </w:p>
    <w:p w14:paraId="2F337D79" w14:textId="77777777" w:rsidR="00693D03" w:rsidRDefault="00693D03">
      <w:pPr>
        <w:rPr>
          <w:sz w:val="24"/>
          <w:szCs w:val="24"/>
        </w:rPr>
      </w:pPr>
      <w:r>
        <w:rPr>
          <w:sz w:val="24"/>
          <w:szCs w:val="24"/>
        </w:rPr>
        <w:t xml:space="preserve">During TFAWS 2018, paper sessions will be divided into the following topic areas: </w:t>
      </w:r>
      <w:r w:rsidRPr="00162119">
        <w:rPr>
          <w:b/>
          <w:color w:val="C00000"/>
          <w:sz w:val="24"/>
          <w:szCs w:val="24"/>
        </w:rPr>
        <w:t xml:space="preserve">Active Thermal/Fluids, Passive Thermal, Aerothermal, </w:t>
      </w:r>
      <w:proofErr w:type="spellStart"/>
      <w:r w:rsidRPr="00162119">
        <w:rPr>
          <w:b/>
          <w:color w:val="C00000"/>
          <w:sz w:val="24"/>
          <w:szCs w:val="24"/>
        </w:rPr>
        <w:t>Cryothermal</w:t>
      </w:r>
      <w:proofErr w:type="spellEnd"/>
      <w:r w:rsidRPr="00162119">
        <w:rPr>
          <w:b/>
          <w:color w:val="C00000"/>
          <w:sz w:val="24"/>
          <w:szCs w:val="24"/>
        </w:rPr>
        <w:t>, and Interdisciplinary.</w:t>
      </w:r>
      <w:r>
        <w:rPr>
          <w:sz w:val="24"/>
          <w:szCs w:val="24"/>
        </w:rPr>
        <w:t xml:space="preserve"> Descriptions of these topics can be found below.</w:t>
      </w:r>
    </w:p>
    <w:p w14:paraId="627C0DC4" w14:textId="77777777" w:rsidR="00693D03" w:rsidRPr="00162119" w:rsidRDefault="00693D03">
      <w:pPr>
        <w:rPr>
          <w:b/>
          <w:color w:val="C00000"/>
          <w:sz w:val="32"/>
          <w:szCs w:val="32"/>
        </w:rPr>
      </w:pPr>
      <w:r w:rsidRPr="00162119">
        <w:rPr>
          <w:b/>
          <w:color w:val="C00000"/>
          <w:sz w:val="32"/>
          <w:szCs w:val="32"/>
        </w:rPr>
        <w:t>Active Thermal/Fluids</w:t>
      </w:r>
    </w:p>
    <w:p w14:paraId="6BDF5E39" w14:textId="77777777" w:rsidR="0047641A" w:rsidRDefault="0047641A" w:rsidP="0047641A">
      <w:pPr>
        <w:pStyle w:val="ListParagraph"/>
        <w:numPr>
          <w:ilvl w:val="0"/>
          <w:numId w:val="1"/>
        </w:numPr>
        <w:rPr>
          <w:sz w:val="24"/>
          <w:szCs w:val="24"/>
        </w:rPr>
      </w:pPr>
      <w:r>
        <w:rPr>
          <w:sz w:val="24"/>
          <w:szCs w:val="24"/>
        </w:rPr>
        <w:t>Active thermal systems and control: components, thermal systems, analysis and testing</w:t>
      </w:r>
    </w:p>
    <w:p w14:paraId="4C28FBA2" w14:textId="394A009D" w:rsidR="00693D03" w:rsidRDefault="00693D03" w:rsidP="00693D03">
      <w:pPr>
        <w:pStyle w:val="ListParagraph"/>
        <w:numPr>
          <w:ilvl w:val="0"/>
          <w:numId w:val="1"/>
        </w:numPr>
        <w:rPr>
          <w:sz w:val="24"/>
          <w:szCs w:val="24"/>
        </w:rPr>
      </w:pPr>
      <w:r>
        <w:rPr>
          <w:sz w:val="24"/>
          <w:szCs w:val="24"/>
        </w:rPr>
        <w:t xml:space="preserve">Fluids and CFD: analysis, design and test </w:t>
      </w:r>
    </w:p>
    <w:p w14:paraId="4D16A884" w14:textId="77777777" w:rsidR="00693D03" w:rsidRDefault="00693D03" w:rsidP="00693D03">
      <w:pPr>
        <w:pStyle w:val="ListParagraph"/>
        <w:numPr>
          <w:ilvl w:val="0"/>
          <w:numId w:val="1"/>
        </w:numPr>
        <w:rPr>
          <w:sz w:val="24"/>
          <w:szCs w:val="24"/>
        </w:rPr>
      </w:pPr>
      <w:r>
        <w:rPr>
          <w:sz w:val="24"/>
          <w:szCs w:val="24"/>
        </w:rPr>
        <w:t>Life support: environmental control and life support systems</w:t>
      </w:r>
    </w:p>
    <w:p w14:paraId="794BA7C4" w14:textId="77777777" w:rsidR="00693D03" w:rsidRDefault="00693D03" w:rsidP="00693D03">
      <w:pPr>
        <w:pStyle w:val="ListParagraph"/>
        <w:numPr>
          <w:ilvl w:val="0"/>
          <w:numId w:val="1"/>
        </w:numPr>
        <w:rPr>
          <w:sz w:val="24"/>
          <w:szCs w:val="24"/>
        </w:rPr>
      </w:pPr>
      <w:r>
        <w:rPr>
          <w:sz w:val="24"/>
          <w:szCs w:val="24"/>
        </w:rPr>
        <w:t>Analytical model correlation to existing test or flight data</w:t>
      </w:r>
    </w:p>
    <w:p w14:paraId="667005E8" w14:textId="77777777" w:rsidR="00693D03" w:rsidRPr="00162119" w:rsidRDefault="00693D03" w:rsidP="00693D03">
      <w:pPr>
        <w:rPr>
          <w:b/>
          <w:color w:val="C00000"/>
          <w:sz w:val="32"/>
          <w:szCs w:val="32"/>
        </w:rPr>
      </w:pPr>
      <w:r w:rsidRPr="00162119">
        <w:rPr>
          <w:b/>
          <w:color w:val="C00000"/>
          <w:sz w:val="32"/>
          <w:szCs w:val="32"/>
        </w:rPr>
        <w:t xml:space="preserve">Passive Thermal </w:t>
      </w:r>
    </w:p>
    <w:p w14:paraId="729F9149" w14:textId="05C4B4B9" w:rsidR="00693D03" w:rsidRDefault="00693D03" w:rsidP="00693D03">
      <w:pPr>
        <w:pStyle w:val="ListParagraph"/>
        <w:numPr>
          <w:ilvl w:val="0"/>
          <w:numId w:val="1"/>
        </w:numPr>
        <w:rPr>
          <w:sz w:val="24"/>
          <w:szCs w:val="24"/>
        </w:rPr>
      </w:pPr>
      <w:r>
        <w:rPr>
          <w:sz w:val="24"/>
          <w:szCs w:val="24"/>
        </w:rPr>
        <w:t xml:space="preserve">Passive thermal systems and control: design, analysis, build, and test </w:t>
      </w:r>
    </w:p>
    <w:p w14:paraId="6E958EF5" w14:textId="2A4F58B7" w:rsidR="00693D03" w:rsidRDefault="00693D03" w:rsidP="00693D03">
      <w:pPr>
        <w:pStyle w:val="ListParagraph"/>
        <w:numPr>
          <w:ilvl w:val="0"/>
          <w:numId w:val="1"/>
        </w:numPr>
        <w:rPr>
          <w:sz w:val="24"/>
          <w:szCs w:val="24"/>
        </w:rPr>
      </w:pPr>
      <w:r>
        <w:rPr>
          <w:sz w:val="24"/>
          <w:szCs w:val="24"/>
        </w:rPr>
        <w:t>Spacecraft thermal protection systems</w:t>
      </w:r>
      <w:r w:rsidR="0047641A">
        <w:rPr>
          <w:sz w:val="24"/>
          <w:szCs w:val="24"/>
        </w:rPr>
        <w:t xml:space="preserve"> including</w:t>
      </w:r>
      <w:r>
        <w:rPr>
          <w:sz w:val="24"/>
          <w:szCs w:val="24"/>
        </w:rPr>
        <w:t xml:space="preserve"> </w:t>
      </w:r>
      <w:r w:rsidR="004E5A5B">
        <w:rPr>
          <w:sz w:val="24"/>
          <w:szCs w:val="24"/>
        </w:rPr>
        <w:t xml:space="preserve">tiles, </w:t>
      </w:r>
      <w:r>
        <w:rPr>
          <w:sz w:val="24"/>
          <w:szCs w:val="24"/>
        </w:rPr>
        <w:t xml:space="preserve">ablative systems, plume impingement, </w:t>
      </w:r>
      <w:r w:rsidR="0047641A">
        <w:rPr>
          <w:sz w:val="24"/>
          <w:szCs w:val="24"/>
        </w:rPr>
        <w:t xml:space="preserve">and </w:t>
      </w:r>
      <w:r>
        <w:rPr>
          <w:sz w:val="24"/>
          <w:szCs w:val="24"/>
        </w:rPr>
        <w:t>asce</w:t>
      </w:r>
      <w:r w:rsidR="004E5A5B">
        <w:rPr>
          <w:sz w:val="24"/>
          <w:szCs w:val="24"/>
        </w:rPr>
        <w:t>nt</w:t>
      </w:r>
      <w:r w:rsidR="0047641A">
        <w:rPr>
          <w:sz w:val="24"/>
          <w:szCs w:val="24"/>
        </w:rPr>
        <w:t>/</w:t>
      </w:r>
      <w:r w:rsidR="004E5A5B">
        <w:rPr>
          <w:sz w:val="24"/>
          <w:szCs w:val="24"/>
        </w:rPr>
        <w:t>entry aerothermal heat management</w:t>
      </w:r>
    </w:p>
    <w:p w14:paraId="7A9A4D81" w14:textId="77777777" w:rsidR="004E5A5B" w:rsidRPr="004E5A5B" w:rsidRDefault="00693D03" w:rsidP="004E5A5B">
      <w:pPr>
        <w:pStyle w:val="ListParagraph"/>
        <w:numPr>
          <w:ilvl w:val="0"/>
          <w:numId w:val="1"/>
        </w:numPr>
        <w:rPr>
          <w:sz w:val="24"/>
          <w:szCs w:val="24"/>
        </w:rPr>
      </w:pPr>
      <w:r>
        <w:rPr>
          <w:sz w:val="24"/>
          <w:szCs w:val="24"/>
        </w:rPr>
        <w:t>Radiative heat transfer, analytical and experimental approaches</w:t>
      </w:r>
    </w:p>
    <w:p w14:paraId="0C9C3B7D" w14:textId="77777777" w:rsidR="00693D03" w:rsidRDefault="00693D03" w:rsidP="00693D03">
      <w:pPr>
        <w:pStyle w:val="ListParagraph"/>
        <w:numPr>
          <w:ilvl w:val="0"/>
          <w:numId w:val="1"/>
        </w:numPr>
        <w:rPr>
          <w:sz w:val="24"/>
          <w:szCs w:val="24"/>
        </w:rPr>
      </w:pPr>
      <w:r>
        <w:rPr>
          <w:sz w:val="24"/>
          <w:szCs w:val="24"/>
        </w:rPr>
        <w:t xml:space="preserve">Studies related to MLI, coatings, </w:t>
      </w:r>
      <w:proofErr w:type="spellStart"/>
      <w:r>
        <w:rPr>
          <w:sz w:val="24"/>
          <w:szCs w:val="24"/>
        </w:rPr>
        <w:t>thermophysical</w:t>
      </w:r>
      <w:proofErr w:type="spellEnd"/>
      <w:r>
        <w:rPr>
          <w:sz w:val="24"/>
          <w:szCs w:val="24"/>
        </w:rPr>
        <w:t>/optical properties, and surface finishes</w:t>
      </w:r>
    </w:p>
    <w:p w14:paraId="61ABB035" w14:textId="77777777" w:rsidR="00216627" w:rsidRDefault="00216627" w:rsidP="00693D03">
      <w:pPr>
        <w:pStyle w:val="ListParagraph"/>
        <w:numPr>
          <w:ilvl w:val="0"/>
          <w:numId w:val="1"/>
        </w:numPr>
        <w:rPr>
          <w:sz w:val="24"/>
          <w:szCs w:val="24"/>
        </w:rPr>
      </w:pPr>
      <w:r>
        <w:rPr>
          <w:sz w:val="24"/>
          <w:szCs w:val="24"/>
        </w:rPr>
        <w:t>Analytical model correlation to existing test or flight data</w:t>
      </w:r>
    </w:p>
    <w:p w14:paraId="1293C18A" w14:textId="77777777" w:rsidR="00216627" w:rsidRPr="00162119" w:rsidRDefault="00216627" w:rsidP="00216627">
      <w:pPr>
        <w:rPr>
          <w:b/>
          <w:color w:val="C00000"/>
          <w:sz w:val="32"/>
          <w:szCs w:val="32"/>
        </w:rPr>
      </w:pPr>
      <w:r w:rsidRPr="00162119">
        <w:rPr>
          <w:b/>
          <w:color w:val="C00000"/>
          <w:sz w:val="32"/>
          <w:szCs w:val="32"/>
        </w:rPr>
        <w:t>Aerothermal</w:t>
      </w:r>
    </w:p>
    <w:p w14:paraId="49748E45" w14:textId="4B4AC57F" w:rsidR="00216627" w:rsidRDefault="00216627" w:rsidP="00216627">
      <w:pPr>
        <w:pStyle w:val="ListParagraph"/>
        <w:numPr>
          <w:ilvl w:val="0"/>
          <w:numId w:val="1"/>
        </w:numPr>
        <w:rPr>
          <w:sz w:val="24"/>
          <w:szCs w:val="24"/>
        </w:rPr>
      </w:pPr>
      <w:r>
        <w:rPr>
          <w:sz w:val="24"/>
          <w:szCs w:val="24"/>
        </w:rPr>
        <w:t xml:space="preserve">Aerothermodynamics: design, analysis, build, and test </w:t>
      </w:r>
    </w:p>
    <w:p w14:paraId="1782BD51" w14:textId="77777777" w:rsidR="00216627" w:rsidRDefault="00231A3A" w:rsidP="00216627">
      <w:pPr>
        <w:pStyle w:val="ListParagraph"/>
        <w:numPr>
          <w:ilvl w:val="0"/>
          <w:numId w:val="1"/>
        </w:numPr>
        <w:rPr>
          <w:sz w:val="24"/>
          <w:szCs w:val="24"/>
        </w:rPr>
      </w:pPr>
      <w:proofErr w:type="spellStart"/>
      <w:r>
        <w:rPr>
          <w:sz w:val="24"/>
          <w:szCs w:val="24"/>
        </w:rPr>
        <w:t>Aerothermodynamic</w:t>
      </w:r>
      <w:proofErr w:type="spellEnd"/>
      <w:r>
        <w:rPr>
          <w:sz w:val="24"/>
          <w:szCs w:val="24"/>
        </w:rPr>
        <w:t xml:space="preserve"> performance for aircraft and spacecraft operation in earth and other planetary atmospheres</w:t>
      </w:r>
    </w:p>
    <w:p w14:paraId="0DA59483" w14:textId="2467A2DE" w:rsidR="004E5A5B" w:rsidRPr="004E5A5B" w:rsidRDefault="004E5A5B" w:rsidP="004E5A5B">
      <w:pPr>
        <w:pStyle w:val="ListParagraph"/>
        <w:numPr>
          <w:ilvl w:val="0"/>
          <w:numId w:val="1"/>
        </w:numPr>
        <w:rPr>
          <w:sz w:val="24"/>
          <w:szCs w:val="24"/>
        </w:rPr>
      </w:pPr>
      <w:r>
        <w:rPr>
          <w:sz w:val="24"/>
          <w:szCs w:val="24"/>
        </w:rPr>
        <w:t>H</w:t>
      </w:r>
      <w:r w:rsidR="00231A3A">
        <w:rPr>
          <w:sz w:val="24"/>
          <w:szCs w:val="24"/>
        </w:rPr>
        <w:t>ea</w:t>
      </w:r>
      <w:r w:rsidR="0047641A">
        <w:rPr>
          <w:sz w:val="24"/>
          <w:szCs w:val="24"/>
        </w:rPr>
        <w:t>t</w:t>
      </w:r>
      <w:r w:rsidR="00231A3A">
        <w:rPr>
          <w:sz w:val="24"/>
          <w:szCs w:val="24"/>
        </w:rPr>
        <w:t>ing due to hig</w:t>
      </w:r>
      <w:r>
        <w:rPr>
          <w:sz w:val="24"/>
          <w:szCs w:val="24"/>
        </w:rPr>
        <w:t xml:space="preserve">h </w:t>
      </w:r>
      <w:r w:rsidR="00231A3A">
        <w:rPr>
          <w:sz w:val="24"/>
          <w:szCs w:val="24"/>
        </w:rPr>
        <w:t xml:space="preserve">speed flight and </w:t>
      </w:r>
      <w:r>
        <w:rPr>
          <w:sz w:val="24"/>
          <w:szCs w:val="24"/>
        </w:rPr>
        <w:t>jet</w:t>
      </w:r>
      <w:r w:rsidR="00231A3A">
        <w:rPr>
          <w:sz w:val="24"/>
          <w:szCs w:val="24"/>
        </w:rPr>
        <w:t xml:space="preserve"> and rocket plume impingement</w:t>
      </w:r>
    </w:p>
    <w:p w14:paraId="243F0F07" w14:textId="77777777" w:rsidR="00216627" w:rsidRDefault="00216627" w:rsidP="00216627">
      <w:pPr>
        <w:pStyle w:val="ListParagraph"/>
        <w:numPr>
          <w:ilvl w:val="0"/>
          <w:numId w:val="1"/>
        </w:numPr>
        <w:rPr>
          <w:sz w:val="24"/>
          <w:szCs w:val="24"/>
        </w:rPr>
      </w:pPr>
      <w:r>
        <w:rPr>
          <w:sz w:val="24"/>
          <w:szCs w:val="24"/>
        </w:rPr>
        <w:t>Free molecular heat transfer, analytical and experimental approaches</w:t>
      </w:r>
    </w:p>
    <w:p w14:paraId="2230442E" w14:textId="77777777" w:rsidR="00216627" w:rsidRDefault="00216627" w:rsidP="00216627">
      <w:pPr>
        <w:pStyle w:val="ListParagraph"/>
        <w:numPr>
          <w:ilvl w:val="0"/>
          <w:numId w:val="1"/>
        </w:numPr>
        <w:rPr>
          <w:sz w:val="24"/>
          <w:szCs w:val="24"/>
        </w:rPr>
      </w:pPr>
      <w:r>
        <w:rPr>
          <w:sz w:val="24"/>
          <w:szCs w:val="24"/>
        </w:rPr>
        <w:t>Analytical model correlation to existing test or flight data</w:t>
      </w:r>
    </w:p>
    <w:p w14:paraId="30B45AE0" w14:textId="77777777" w:rsidR="00216627" w:rsidRPr="00162119" w:rsidRDefault="00216627" w:rsidP="00216627">
      <w:pPr>
        <w:rPr>
          <w:b/>
          <w:color w:val="C00000"/>
          <w:sz w:val="32"/>
          <w:szCs w:val="32"/>
        </w:rPr>
      </w:pPr>
      <w:proofErr w:type="spellStart"/>
      <w:r w:rsidRPr="00162119">
        <w:rPr>
          <w:b/>
          <w:color w:val="C00000"/>
          <w:sz w:val="32"/>
          <w:szCs w:val="32"/>
        </w:rPr>
        <w:t>Cryothermal</w:t>
      </w:r>
      <w:proofErr w:type="spellEnd"/>
    </w:p>
    <w:p w14:paraId="65E789CC" w14:textId="4848B34B" w:rsidR="00994B49" w:rsidRDefault="00994B49" w:rsidP="00216627">
      <w:pPr>
        <w:pStyle w:val="ListParagraph"/>
        <w:numPr>
          <w:ilvl w:val="0"/>
          <w:numId w:val="1"/>
        </w:numPr>
        <w:rPr>
          <w:sz w:val="24"/>
          <w:szCs w:val="24"/>
        </w:rPr>
      </w:pPr>
      <w:r>
        <w:rPr>
          <w:sz w:val="24"/>
          <w:szCs w:val="24"/>
        </w:rPr>
        <w:t>Cryogenic system design: design, analysis, build, and test</w:t>
      </w:r>
    </w:p>
    <w:p w14:paraId="120F05C4" w14:textId="77777777" w:rsidR="00216627" w:rsidRDefault="00216627" w:rsidP="00216627">
      <w:pPr>
        <w:pStyle w:val="ListParagraph"/>
        <w:numPr>
          <w:ilvl w:val="0"/>
          <w:numId w:val="1"/>
        </w:numPr>
        <w:rPr>
          <w:sz w:val="24"/>
          <w:szCs w:val="24"/>
        </w:rPr>
      </w:pPr>
      <w:r>
        <w:rPr>
          <w:sz w:val="24"/>
          <w:szCs w:val="24"/>
        </w:rPr>
        <w:t>Cryogenic Fluid Systems</w:t>
      </w:r>
    </w:p>
    <w:p w14:paraId="655CE121" w14:textId="77777777" w:rsidR="00841729" w:rsidRDefault="00841729" w:rsidP="00216627">
      <w:pPr>
        <w:pStyle w:val="ListParagraph"/>
        <w:numPr>
          <w:ilvl w:val="0"/>
          <w:numId w:val="1"/>
        </w:numPr>
        <w:rPr>
          <w:sz w:val="24"/>
          <w:szCs w:val="24"/>
        </w:rPr>
      </w:pPr>
      <w:r>
        <w:rPr>
          <w:sz w:val="24"/>
          <w:szCs w:val="24"/>
        </w:rPr>
        <w:t>Gas compression technologies</w:t>
      </w:r>
    </w:p>
    <w:p w14:paraId="3735A048" w14:textId="77777777" w:rsidR="00841729" w:rsidRDefault="00841729" w:rsidP="00216627">
      <w:pPr>
        <w:pStyle w:val="ListParagraph"/>
        <w:numPr>
          <w:ilvl w:val="0"/>
          <w:numId w:val="1"/>
        </w:numPr>
        <w:rPr>
          <w:sz w:val="24"/>
          <w:szCs w:val="24"/>
        </w:rPr>
      </w:pPr>
      <w:r>
        <w:rPr>
          <w:sz w:val="24"/>
          <w:szCs w:val="24"/>
        </w:rPr>
        <w:lastRenderedPageBreak/>
        <w:t>Passive multistage cryogenic radiators</w:t>
      </w:r>
    </w:p>
    <w:p w14:paraId="1F52B636" w14:textId="77777777" w:rsidR="00216627" w:rsidRPr="00162119" w:rsidRDefault="00216627" w:rsidP="00216627">
      <w:pPr>
        <w:rPr>
          <w:b/>
          <w:color w:val="C00000"/>
          <w:sz w:val="32"/>
          <w:szCs w:val="32"/>
        </w:rPr>
      </w:pPr>
      <w:r w:rsidRPr="00162119">
        <w:rPr>
          <w:b/>
          <w:color w:val="C00000"/>
          <w:sz w:val="32"/>
          <w:szCs w:val="32"/>
        </w:rPr>
        <w:t>Interdisciplinary</w:t>
      </w:r>
    </w:p>
    <w:p w14:paraId="4324F71B" w14:textId="2A8A1AD0" w:rsidR="00216627" w:rsidRDefault="00216627" w:rsidP="00216627">
      <w:pPr>
        <w:pStyle w:val="ListParagraph"/>
        <w:numPr>
          <w:ilvl w:val="0"/>
          <w:numId w:val="1"/>
        </w:numPr>
        <w:rPr>
          <w:sz w:val="24"/>
          <w:szCs w:val="24"/>
        </w:rPr>
      </w:pPr>
      <w:r>
        <w:rPr>
          <w:sz w:val="24"/>
          <w:szCs w:val="24"/>
        </w:rPr>
        <w:t xml:space="preserve">Multi-disciplinary problems: design, analysis, build, and test </w:t>
      </w:r>
    </w:p>
    <w:p w14:paraId="7C289734" w14:textId="77777777" w:rsidR="00216627" w:rsidRDefault="00216627" w:rsidP="00216627">
      <w:pPr>
        <w:pStyle w:val="ListParagraph"/>
        <w:numPr>
          <w:ilvl w:val="0"/>
          <w:numId w:val="1"/>
        </w:numPr>
        <w:rPr>
          <w:sz w:val="24"/>
          <w:szCs w:val="24"/>
        </w:rPr>
      </w:pPr>
      <w:r>
        <w:rPr>
          <w:sz w:val="24"/>
          <w:szCs w:val="24"/>
        </w:rPr>
        <w:t>Fluid management and modeling techniques as applied to propulsion</w:t>
      </w:r>
    </w:p>
    <w:p w14:paraId="3C3DA246" w14:textId="77777777" w:rsidR="00216627" w:rsidRDefault="00216627" w:rsidP="00216627">
      <w:pPr>
        <w:pStyle w:val="ListParagraph"/>
        <w:numPr>
          <w:ilvl w:val="0"/>
          <w:numId w:val="1"/>
        </w:numPr>
        <w:rPr>
          <w:sz w:val="24"/>
          <w:szCs w:val="24"/>
        </w:rPr>
      </w:pPr>
      <w:r>
        <w:rPr>
          <w:sz w:val="24"/>
          <w:szCs w:val="24"/>
        </w:rPr>
        <w:t>Vibration and acoustics in the launch environment</w:t>
      </w:r>
    </w:p>
    <w:p w14:paraId="23871EFD" w14:textId="77777777" w:rsidR="00216627" w:rsidRDefault="00216627" w:rsidP="00216627">
      <w:pPr>
        <w:pStyle w:val="ListParagraph"/>
        <w:numPr>
          <w:ilvl w:val="0"/>
          <w:numId w:val="1"/>
        </w:numPr>
        <w:rPr>
          <w:sz w:val="24"/>
          <w:szCs w:val="24"/>
        </w:rPr>
      </w:pPr>
      <w:r>
        <w:rPr>
          <w:sz w:val="24"/>
          <w:szCs w:val="24"/>
        </w:rPr>
        <w:t>Integrated analyses of chemical reactions, electromagnetic interactions, micromechanics, structural motion</w:t>
      </w:r>
    </w:p>
    <w:p w14:paraId="11BC954C" w14:textId="77777777" w:rsidR="00216627" w:rsidRDefault="00216627" w:rsidP="00216627">
      <w:pPr>
        <w:pStyle w:val="ListParagraph"/>
        <w:numPr>
          <w:ilvl w:val="0"/>
          <w:numId w:val="1"/>
        </w:numPr>
        <w:rPr>
          <w:sz w:val="24"/>
          <w:szCs w:val="24"/>
        </w:rPr>
      </w:pPr>
      <w:r>
        <w:rPr>
          <w:sz w:val="24"/>
          <w:szCs w:val="24"/>
        </w:rPr>
        <w:t>Modeling/Testing error approximation and verification/validation techniques</w:t>
      </w:r>
    </w:p>
    <w:p w14:paraId="0AB83FBB" w14:textId="77777777" w:rsidR="00216627" w:rsidRDefault="00216627" w:rsidP="00216627">
      <w:pPr>
        <w:pStyle w:val="ListParagraph"/>
        <w:numPr>
          <w:ilvl w:val="0"/>
          <w:numId w:val="1"/>
        </w:numPr>
        <w:rPr>
          <w:sz w:val="24"/>
          <w:szCs w:val="24"/>
        </w:rPr>
      </w:pPr>
      <w:r>
        <w:rPr>
          <w:sz w:val="24"/>
          <w:szCs w:val="24"/>
        </w:rPr>
        <w:t>Technology innovations, current and in-development</w:t>
      </w:r>
    </w:p>
    <w:p w14:paraId="5971A879" w14:textId="77777777" w:rsidR="00216627" w:rsidRDefault="00216627" w:rsidP="00216627">
      <w:pPr>
        <w:pStyle w:val="ListParagraph"/>
        <w:numPr>
          <w:ilvl w:val="0"/>
          <w:numId w:val="1"/>
        </w:numPr>
        <w:rPr>
          <w:sz w:val="24"/>
          <w:szCs w:val="24"/>
        </w:rPr>
      </w:pPr>
      <w:r>
        <w:rPr>
          <w:sz w:val="24"/>
          <w:szCs w:val="24"/>
        </w:rPr>
        <w:t>Creating environments of inclusion to enable innovation</w:t>
      </w:r>
    </w:p>
    <w:p w14:paraId="785904FE" w14:textId="77777777" w:rsidR="00216627" w:rsidRDefault="00216627" w:rsidP="00216627">
      <w:pPr>
        <w:pStyle w:val="ListParagraph"/>
        <w:numPr>
          <w:ilvl w:val="0"/>
          <w:numId w:val="1"/>
        </w:numPr>
        <w:rPr>
          <w:sz w:val="24"/>
          <w:szCs w:val="24"/>
        </w:rPr>
      </w:pPr>
      <w:r>
        <w:rPr>
          <w:sz w:val="24"/>
          <w:szCs w:val="24"/>
        </w:rPr>
        <w:t>Lessons Learned</w:t>
      </w:r>
    </w:p>
    <w:p w14:paraId="4120C272" w14:textId="77777777" w:rsidR="00216627" w:rsidRDefault="00216627" w:rsidP="00216627">
      <w:pPr>
        <w:rPr>
          <w:sz w:val="32"/>
          <w:szCs w:val="32"/>
        </w:rPr>
      </w:pPr>
      <w:r w:rsidRPr="00162119">
        <w:rPr>
          <w:b/>
          <w:color w:val="C00000"/>
          <w:sz w:val="32"/>
          <w:szCs w:val="32"/>
        </w:rPr>
        <w:t>Abstract &amp; Paper Submission Guidelines</w:t>
      </w:r>
    </w:p>
    <w:p w14:paraId="20D07193" w14:textId="33C40046" w:rsidR="00216627" w:rsidRDefault="00216627" w:rsidP="00216627">
      <w:pPr>
        <w:rPr>
          <w:sz w:val="24"/>
          <w:szCs w:val="24"/>
        </w:rPr>
      </w:pPr>
      <w:r>
        <w:rPr>
          <w:sz w:val="24"/>
          <w:szCs w:val="24"/>
        </w:rPr>
        <w:t xml:space="preserve">You are invited to submit papers for presentation during the conference session. The </w:t>
      </w:r>
      <w:r w:rsidRPr="00162119">
        <w:rPr>
          <w:b/>
          <w:sz w:val="24"/>
          <w:szCs w:val="24"/>
        </w:rPr>
        <w:t>deadline for abstracts is May 25</w:t>
      </w:r>
      <w:r w:rsidRPr="00162119">
        <w:rPr>
          <w:b/>
          <w:sz w:val="24"/>
          <w:szCs w:val="24"/>
          <w:vertAlign w:val="superscript"/>
        </w:rPr>
        <w:t>th</w:t>
      </w:r>
      <w:r w:rsidRPr="00162119">
        <w:rPr>
          <w:b/>
          <w:sz w:val="24"/>
          <w:szCs w:val="24"/>
        </w:rPr>
        <w:t>, 2018</w:t>
      </w:r>
      <w:r>
        <w:rPr>
          <w:sz w:val="24"/>
          <w:szCs w:val="24"/>
        </w:rPr>
        <w:t xml:space="preserve">. </w:t>
      </w:r>
      <w:r w:rsidRPr="00162119">
        <w:rPr>
          <w:b/>
          <w:sz w:val="24"/>
          <w:szCs w:val="24"/>
        </w:rPr>
        <w:t xml:space="preserve">Submissions should be sent to </w:t>
      </w:r>
      <w:r w:rsidR="00856D75" w:rsidRPr="00856D75">
        <w:rPr>
          <w:b/>
          <w:color w:val="4472C4" w:themeColor="accent5"/>
          <w:sz w:val="24"/>
          <w:szCs w:val="24"/>
        </w:rPr>
        <w:t>jsc-tfaws-2018-papers@mail.nasa.gov</w:t>
      </w:r>
      <w:r w:rsidRPr="00162119">
        <w:rPr>
          <w:b/>
          <w:sz w:val="24"/>
          <w:szCs w:val="24"/>
        </w:rPr>
        <w:t>.</w:t>
      </w:r>
      <w:r>
        <w:rPr>
          <w:sz w:val="24"/>
          <w:szCs w:val="24"/>
        </w:rPr>
        <w:t xml:space="preserve"> You will be notified via e-mail of the acceptance of your abstract.</w:t>
      </w:r>
      <w:bookmarkStart w:id="0" w:name="_GoBack"/>
      <w:bookmarkEnd w:id="0"/>
    </w:p>
    <w:p w14:paraId="77A1C5ED" w14:textId="6585317E" w:rsidR="00216627" w:rsidRPr="00216627" w:rsidRDefault="00216627" w:rsidP="00216627">
      <w:pPr>
        <w:rPr>
          <w:sz w:val="24"/>
          <w:szCs w:val="24"/>
        </w:rPr>
      </w:pPr>
      <w:r>
        <w:rPr>
          <w:sz w:val="24"/>
          <w:szCs w:val="24"/>
        </w:rPr>
        <w:t>In addition to the abstract, please specify the topic area for your submission (Active Thermal</w:t>
      </w:r>
      <w:r w:rsidR="0059398A">
        <w:rPr>
          <w:sz w:val="24"/>
          <w:szCs w:val="24"/>
        </w:rPr>
        <w:t xml:space="preserve">/Fluids, Passive Thermal, Aerothermal, </w:t>
      </w:r>
      <w:proofErr w:type="spellStart"/>
      <w:r w:rsidR="0059398A">
        <w:rPr>
          <w:sz w:val="24"/>
          <w:szCs w:val="24"/>
        </w:rPr>
        <w:t>Cryothermal</w:t>
      </w:r>
      <w:proofErr w:type="spellEnd"/>
      <w:r w:rsidR="0059398A">
        <w:rPr>
          <w:sz w:val="24"/>
          <w:szCs w:val="24"/>
        </w:rPr>
        <w:t xml:space="preserve">, and Interdisciplinary), and indicate </w:t>
      </w:r>
      <w:r w:rsidR="0047641A">
        <w:rPr>
          <w:sz w:val="24"/>
          <w:szCs w:val="24"/>
        </w:rPr>
        <w:t>if</w:t>
      </w:r>
      <w:r w:rsidR="0059398A">
        <w:rPr>
          <w:sz w:val="24"/>
          <w:szCs w:val="24"/>
        </w:rPr>
        <w:t xml:space="preserve"> the final paper/presentation will include any export controlled (ITAR) material. </w:t>
      </w:r>
      <w:r w:rsidR="0059398A" w:rsidRPr="0059398A">
        <w:rPr>
          <w:i/>
          <w:sz w:val="24"/>
          <w:szCs w:val="24"/>
        </w:rPr>
        <w:t>ITAR sessions will be provided based on demand.</w:t>
      </w:r>
    </w:p>
    <w:p w14:paraId="143317C7" w14:textId="44610E0D" w:rsidR="00216627" w:rsidRDefault="0059398A" w:rsidP="00216627">
      <w:pPr>
        <w:rPr>
          <w:sz w:val="24"/>
          <w:szCs w:val="24"/>
        </w:rPr>
      </w:pPr>
      <w:r>
        <w:rPr>
          <w:sz w:val="24"/>
          <w:szCs w:val="24"/>
        </w:rPr>
        <w:t>Manuscript and presentation templates will be provided to authors. While full paper are encouraged, they are not required to give a conference presentation. Typically, twenty minutes will be allocated for each presentation and ten minutes for questions from the audience. Instructions for electronic manuscript submission will accompany acceptance of the abstract. It is the author’s responsibility to ensure that presentation content is not restricted by law, contract, or prohibited in any way from being presented at this conference.</w:t>
      </w:r>
    </w:p>
    <w:p w14:paraId="0E7670BE" w14:textId="77777777" w:rsidR="0059398A" w:rsidRPr="00162119" w:rsidRDefault="00231A3A" w:rsidP="0059398A">
      <w:pPr>
        <w:rPr>
          <w:b/>
          <w:color w:val="C00000"/>
          <w:sz w:val="32"/>
          <w:szCs w:val="32"/>
        </w:rPr>
      </w:pPr>
      <w:r w:rsidRPr="00162119">
        <w:rPr>
          <w:b/>
          <w:color w:val="C00000"/>
          <w:sz w:val="32"/>
          <w:szCs w:val="32"/>
        </w:rPr>
        <w:t>Clearance/Copyright</w:t>
      </w:r>
    </w:p>
    <w:p w14:paraId="70CFD933" w14:textId="77777777" w:rsidR="0059398A" w:rsidRDefault="0059398A" w:rsidP="00216627">
      <w:pPr>
        <w:rPr>
          <w:sz w:val="24"/>
          <w:szCs w:val="24"/>
        </w:rPr>
      </w:pPr>
      <w:r>
        <w:rPr>
          <w:sz w:val="24"/>
          <w:szCs w:val="24"/>
        </w:rPr>
        <w:t xml:space="preserve">Submitted </w:t>
      </w:r>
      <w:r w:rsidR="00231A3A">
        <w:rPr>
          <w:sz w:val="24"/>
          <w:szCs w:val="24"/>
        </w:rPr>
        <w:t xml:space="preserve">work must be unclassified and approved for public release by the appropriate company and/or government agency. Please allot time for this authorization process. Government employees are expected to completed Document Availability Authorization (DAA) paperwork prior to final submission. The submission must be original work from the author(s) without any portion of the material infringing on any copyright. </w:t>
      </w:r>
    </w:p>
    <w:p w14:paraId="70CC71DC" w14:textId="77777777" w:rsidR="00231A3A" w:rsidRPr="00216627" w:rsidRDefault="00231A3A" w:rsidP="00216627">
      <w:pPr>
        <w:rPr>
          <w:sz w:val="24"/>
          <w:szCs w:val="24"/>
        </w:rPr>
      </w:pPr>
      <w:r>
        <w:rPr>
          <w:sz w:val="24"/>
          <w:szCs w:val="24"/>
        </w:rPr>
        <w:t xml:space="preserve">Presenters are required to fill out a “TFAWS 2018 Presentation Clearance &amp; Permission to Publish” form prior to their presentation. </w:t>
      </w:r>
    </w:p>
    <w:p w14:paraId="6E38FA55" w14:textId="77777777" w:rsidR="00216627" w:rsidRPr="00216627" w:rsidRDefault="00216627" w:rsidP="00216627">
      <w:pPr>
        <w:rPr>
          <w:sz w:val="24"/>
          <w:szCs w:val="24"/>
        </w:rPr>
      </w:pPr>
    </w:p>
    <w:p w14:paraId="1AE880FF" w14:textId="77777777" w:rsidR="00693D03" w:rsidRPr="00693D03" w:rsidRDefault="00693D03" w:rsidP="00693D03">
      <w:pPr>
        <w:rPr>
          <w:sz w:val="24"/>
          <w:szCs w:val="24"/>
        </w:rPr>
      </w:pPr>
    </w:p>
    <w:sectPr w:rsidR="00693D03" w:rsidRPr="00693D03" w:rsidSect="00162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988"/>
    <w:multiLevelType w:val="hybridMultilevel"/>
    <w:tmpl w:val="5EE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03"/>
    <w:rsid w:val="00162119"/>
    <w:rsid w:val="00216627"/>
    <w:rsid w:val="00231A3A"/>
    <w:rsid w:val="00253972"/>
    <w:rsid w:val="0047641A"/>
    <w:rsid w:val="004E5A5B"/>
    <w:rsid w:val="0059398A"/>
    <w:rsid w:val="00693D03"/>
    <w:rsid w:val="00841729"/>
    <w:rsid w:val="00856D75"/>
    <w:rsid w:val="00994B49"/>
    <w:rsid w:val="00CA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FCE5"/>
  <w15:chartTrackingRefBased/>
  <w15:docId w15:val="{1BB23E39-5A2F-4302-BDDF-344CAF01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03"/>
    <w:pPr>
      <w:ind w:left="720"/>
      <w:contextualSpacing/>
    </w:pPr>
  </w:style>
  <w:style w:type="character" w:styleId="Hyperlink">
    <w:name w:val="Hyperlink"/>
    <w:basedOn w:val="DefaultParagraphFont"/>
    <w:uiPriority w:val="99"/>
    <w:unhideWhenUsed/>
    <w:rsid w:val="00216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AFAB6A97AC941BEC598F5517D15CB" ma:contentTypeVersion="0" ma:contentTypeDescription="Create a new document." ma:contentTypeScope="" ma:versionID="09887a8e0111b068c940ed1c306226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3D299-8D43-4D7B-92C0-B2856213EFAB}">
  <ds:schemaRefs>
    <ds:schemaRef ds:uri="http://schemas.microsoft.com/sharepoint/v3/contenttype/forms"/>
  </ds:schemaRefs>
</ds:datastoreItem>
</file>

<file path=customXml/itemProps2.xml><?xml version="1.0" encoding="utf-8"?>
<ds:datastoreItem xmlns:ds="http://schemas.openxmlformats.org/officeDocument/2006/customXml" ds:itemID="{92ECFAE8-0C83-4AB3-91F2-D7AD75457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05F71-6388-4287-ACA6-C72ED83B2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MASSINA, CHRISTOPHER J. (JSC-EC611)</dc:creator>
  <cp:keywords/>
  <dc:description/>
  <cp:lastModifiedBy>Wright, Sarah E. (JSC-EC611)</cp:lastModifiedBy>
  <cp:revision>2</cp:revision>
  <dcterms:created xsi:type="dcterms:W3CDTF">2018-05-11T16:09:00Z</dcterms:created>
  <dcterms:modified xsi:type="dcterms:W3CDTF">2018-05-11T16:09:00Z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0x010100F6EAFAB6A97AC941BEC598F5517D15CB</vt:lpwstr>
  </property>
</Properties>
</file>