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1A448" w14:textId="1571E327" w:rsidR="00013CA5" w:rsidRPr="000F29D9" w:rsidRDefault="008C34F0" w:rsidP="009A343A">
      <w:pPr>
        <w:pStyle w:val="PaperTitle"/>
      </w:pPr>
      <w:bookmarkStart w:id="0" w:name="_GoBack"/>
      <w:bookmarkEnd w:id="0"/>
      <w:r>
        <w:t xml:space="preserve">CASE STUDY OF USING FLOCAD TO MODEL A GROUND TEST STATION </w:t>
      </w:r>
      <w:r w:rsidR="009A343A">
        <w:t xml:space="preserve">                         </w:t>
      </w:r>
      <w:r>
        <w:t>LN2 HEAT EXCHANGER</w:t>
      </w:r>
    </w:p>
    <w:p w14:paraId="1AC8421D" w14:textId="69E5DA76" w:rsidR="00013CA5" w:rsidRPr="008C34F0" w:rsidRDefault="008C34F0" w:rsidP="000F29D9">
      <w:pPr>
        <w:pStyle w:val="AuthorName"/>
        <w:rPr>
          <w:lang w:val="en-US"/>
        </w:rPr>
      </w:pPr>
      <w:r>
        <w:rPr>
          <w:lang w:val="en-US"/>
        </w:rPr>
        <w:t>Kevin R. Anderson</w:t>
      </w:r>
    </w:p>
    <w:p w14:paraId="2CD67D45" w14:textId="44BED007" w:rsidR="008C34F0" w:rsidRPr="008C34F0" w:rsidRDefault="006A4826" w:rsidP="00E54BF6">
      <w:pPr>
        <w:pStyle w:val="AuthorAffiliation"/>
        <w:rPr>
          <w:lang w:val="en-US"/>
        </w:rPr>
      </w:pPr>
      <w:r>
        <w:rPr>
          <w:lang w:val="en-US"/>
        </w:rPr>
        <w:t>Professor,</w:t>
      </w:r>
      <w:r w:rsidR="00E54BF6">
        <w:rPr>
          <w:lang w:val="en-US"/>
        </w:rPr>
        <w:t xml:space="preserve"> California State Polytechnic University at Pomona, CA                                                                             Thermal Engineer, </w:t>
      </w:r>
      <w:r w:rsidR="008C34F0">
        <w:rPr>
          <w:lang w:val="en-US"/>
        </w:rPr>
        <w:t>Jet Propulsion Laboratory</w:t>
      </w:r>
      <w:r w:rsidR="00842F6C">
        <w:rPr>
          <w:lang w:val="en-US"/>
        </w:rPr>
        <w:t xml:space="preserve"> California Institute of Technology</w:t>
      </w:r>
    </w:p>
    <w:p w14:paraId="118A9305" w14:textId="7C2B05E5" w:rsidR="008C34F0" w:rsidRDefault="00013CA5" w:rsidP="008C34F0">
      <w:pPr>
        <w:pStyle w:val="Heading1"/>
      </w:pPr>
      <w:r w:rsidRPr="000F29D9">
        <w:t xml:space="preserve">ABSTRACT </w:t>
      </w:r>
    </w:p>
    <w:p w14:paraId="02287C22" w14:textId="0DB03B4D" w:rsidR="008C34F0" w:rsidRDefault="008C34F0" w:rsidP="008C34F0">
      <w:pPr>
        <w:jc w:val="both"/>
      </w:pPr>
      <w:r>
        <w:t xml:space="preserve">This paper presents a case study of using FLOCAD to model the heat transfer and boiling flow behavior of a </w:t>
      </w:r>
      <w:r w:rsidR="00135D0C">
        <w:t>Liquid Nitrogen (</w:t>
      </w:r>
      <w:r>
        <w:t>LN2</w:t>
      </w:r>
      <w:r w:rsidR="00135D0C">
        <w:t>)</w:t>
      </w:r>
      <w:r>
        <w:t xml:space="preserve"> ground station equipment heat exchanger. The unique aspect of this work is that is one of very few studies documenting the use of FLOCAD in the spacecraft thermal control community. </w:t>
      </w:r>
      <w:r w:rsidR="006A4826">
        <w:t>The results of the simulations described herein were used</w:t>
      </w:r>
      <w:r>
        <w:t xml:space="preserve"> to guide and plan the execution of thermal vacuum testing spacecraft hardware</w:t>
      </w:r>
      <w:r w:rsidR="006A4826">
        <w:t xml:space="preserve"> using a ground test heat exchanger such as the one modeled herein</w:t>
      </w:r>
      <w:r>
        <w:t>. The paper will review the theory of two-phase boiling flow and correlations used by SINDA/FLUINT as well as the terminology and nomenclature used within Thermal  Desktop / FLOCAD  regarding two-phase boiling flow heat transfer modeling and simulation. Results for using the ground station heat exchanger as a heat sink in a thermal vacuum test set up are shown in order to demonstrate the set-up and execution of a typical FLOCAD model. Results indicate that properly modeling of the two-phase behavior is critical in order to ascertain the time constant associated with the heat exchanger, as well as understanding the temperature distribution across the test equipment and prediction of required LN2 flowrates to be used during testing. The</w:t>
      </w:r>
      <w:r w:rsidR="00D55927">
        <w:t xml:space="preserve"> paper is meant to augment the </w:t>
      </w:r>
      <w:r>
        <w:t>FLOCAD user’s manual and serve as a tutorial for thermal engineers and analysts wishing to learn and apply FLOCAD to industrial problems.</w:t>
      </w:r>
    </w:p>
    <w:p w14:paraId="4D3DE721" w14:textId="00B69E1E" w:rsidR="004B4E4B" w:rsidRDefault="004B4E4B" w:rsidP="004B4E4B">
      <w:pPr>
        <w:pStyle w:val="Heading1"/>
      </w:pPr>
      <w:r>
        <w:t>Nomenclature</w:t>
      </w:r>
    </w:p>
    <w:p w14:paraId="5AD8C4D6" w14:textId="6524A6F3" w:rsidR="004B4E4B" w:rsidRDefault="00953BAB" w:rsidP="004B4E4B">
      <w:r>
        <w:t>LN2</w:t>
      </w:r>
      <w:r>
        <w:tab/>
        <w:t>Liquid Nitrogen</w:t>
      </w:r>
    </w:p>
    <w:p w14:paraId="4A25926A" w14:textId="48FE3721" w:rsidR="002A66CF" w:rsidRDefault="002A66CF" w:rsidP="004B4E4B">
      <w:r>
        <w:t>P</w:t>
      </w:r>
      <w:r>
        <w:tab/>
        <w:t>Pressure</w:t>
      </w:r>
    </w:p>
    <w:p w14:paraId="6EEDC70D" w14:textId="408A7FC7" w:rsidR="002A66CF" w:rsidRDefault="002A66CF" w:rsidP="004B4E4B">
      <w:r>
        <w:t>T</w:t>
      </w:r>
      <w:r>
        <w:tab/>
        <w:t>Temperature</w:t>
      </w:r>
    </w:p>
    <w:p w14:paraId="1C54DB59" w14:textId="743A4458" w:rsidR="002A66CF" w:rsidRDefault="002A66CF" w:rsidP="004B4E4B">
      <w:r>
        <w:t>X</w:t>
      </w:r>
      <w:r>
        <w:tab/>
        <w:t>Quali</w:t>
      </w:r>
      <w:r w:rsidR="00832205">
        <w:t>ty</w:t>
      </w:r>
    </w:p>
    <w:p w14:paraId="5CDEFBAD" w14:textId="4B665F2E" w:rsidR="00953BAB" w:rsidRDefault="00953BAB" w:rsidP="004B4E4B">
      <w:r w:rsidRPr="00953BAB">
        <w:rPr>
          <w:position w:val="-6"/>
        </w:rPr>
        <w:object w:dxaOrig="220" w:dyaOrig="240" w14:anchorId="64317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11" o:title=""/>
          </v:shape>
          <o:OLEObject Type="Embed" ProgID="Equation.DSMT4" ShapeID="_x0000_i1025" DrawAspect="Content" ObjectID="_1658682183" r:id="rId12"/>
        </w:object>
      </w:r>
      <w:r>
        <w:tab/>
        <w:t>Mass Flux</w:t>
      </w:r>
    </w:p>
    <w:p w14:paraId="315E45AC" w14:textId="64841FBE" w:rsidR="00953BAB" w:rsidRDefault="00953BAB" w:rsidP="004B4E4B">
      <w:r>
        <w:sym w:font="Symbol" w:char="F06C"/>
      </w:r>
      <w:r>
        <w:tab/>
        <w:t>Baker map gas phase parameter</w:t>
      </w:r>
    </w:p>
    <w:p w14:paraId="1FAC3ADA" w14:textId="3DD6427F" w:rsidR="00953BAB" w:rsidRDefault="00953BAB" w:rsidP="004B4E4B">
      <w:r>
        <w:sym w:font="Symbol" w:char="F079"/>
      </w:r>
      <w:r>
        <w:tab/>
        <w:t>Baker map liquid phase param</w:t>
      </w:r>
      <w:r w:rsidR="00D55927">
        <w:t>e</w:t>
      </w:r>
      <w:r>
        <w:t>ter</w:t>
      </w:r>
    </w:p>
    <w:p w14:paraId="5FC1CC3D" w14:textId="1D03060D" w:rsidR="004F62B0" w:rsidRDefault="004F62B0" w:rsidP="004B4E4B">
      <w:r w:rsidRPr="004F62B0">
        <w:rPr>
          <w:rFonts w:ascii="Symbol" w:hAnsi="Symbol"/>
        </w:rPr>
        <w:t></w:t>
      </w:r>
      <w:r>
        <w:t>T/</w:t>
      </w:r>
      <w:r w:rsidR="002A66CF" w:rsidRPr="002A66CF">
        <w:rPr>
          <w:rFonts w:ascii="Symbol" w:hAnsi="Symbol"/>
        </w:rPr>
        <w:t></w:t>
      </w:r>
      <w:r>
        <w:t>t</w:t>
      </w:r>
      <w:r>
        <w:tab/>
        <w:t>Cool down rate</w:t>
      </w:r>
    </w:p>
    <w:p w14:paraId="416B86D0" w14:textId="02597873" w:rsidR="00013CA5" w:rsidRPr="003A0D50" w:rsidRDefault="00744D32" w:rsidP="000F29D9">
      <w:pPr>
        <w:pStyle w:val="Heading1"/>
      </w:pPr>
      <w:r>
        <w:lastRenderedPageBreak/>
        <w:t>INTRODUCTION</w:t>
      </w:r>
    </w:p>
    <w:p w14:paraId="0D745613" w14:textId="257A0752" w:rsidR="009F1500" w:rsidRDefault="00013CA5" w:rsidP="00744D32">
      <w:pPr>
        <w:jc w:val="both"/>
      </w:pPr>
      <w:r>
        <w:t>This paper</w:t>
      </w:r>
      <w:r w:rsidR="00744D32">
        <w:t xml:space="preserve"> presents a case study of using SINDA/FLUINT FLOCAD for modeling the boiling heat transfer phenomena in a ground station heat exchanger</w:t>
      </w:r>
      <w:r>
        <w:t xml:space="preserve">. </w:t>
      </w:r>
      <w:r w:rsidR="00744D32">
        <w:t xml:space="preserve"> </w:t>
      </w:r>
      <w:r w:rsidR="009F1500">
        <w:t xml:space="preserve"> Previous investigations have been published </w:t>
      </w:r>
      <w:r w:rsidR="00E71BD6">
        <w:t>docu</w:t>
      </w:r>
      <w:r w:rsidR="009F1500">
        <w:t xml:space="preserve">menting the use of </w:t>
      </w:r>
      <w:r w:rsidR="00E71BD6">
        <w:t xml:space="preserve">SINDA/ FLUINT and Thermal Desktop </w:t>
      </w:r>
      <w:r w:rsidR="009F1500">
        <w:t xml:space="preserve">FLOCAD to model two-phase flow situations. The study of [1] </w:t>
      </w:r>
      <w:r w:rsidR="002177A9">
        <w:t xml:space="preserve">presents </w:t>
      </w:r>
      <w:r w:rsidR="00E71BD6">
        <w:t xml:space="preserve">a SINDA/FLUINT thermal model of a two-phase refrigerant pumped loop cooling system. The study of [2] presents a study of the performance of heat pipes, printed circuit boards and a forced air cooled heat sink using Thermal Desktop / FLOCAD.   The </w:t>
      </w:r>
      <w:r w:rsidR="006A4826">
        <w:t>study of</w:t>
      </w:r>
      <w:r w:rsidR="00E71BD6">
        <w:t xml:space="preserve"> [3] </w:t>
      </w:r>
      <w:r w:rsidR="006A4826">
        <w:t xml:space="preserve">describes </w:t>
      </w:r>
      <w:r w:rsidR="003C081A">
        <w:t xml:space="preserve">the </w:t>
      </w:r>
      <w:r w:rsidR="00E71BD6">
        <w:t>thermodynamic modeling using SINDA/FLUINT</w:t>
      </w:r>
      <w:r w:rsidR="003C081A">
        <w:t xml:space="preserve"> for an upper stage tank including stratification effects.</w:t>
      </w:r>
      <w:r w:rsidR="00D56EA6">
        <w:t xml:space="preserve"> </w:t>
      </w:r>
      <w:r w:rsidR="009F1500">
        <w:t>The next section</w:t>
      </w:r>
      <w:r w:rsidR="00D56EA6">
        <w:t xml:space="preserve"> of the paper</w:t>
      </w:r>
      <w:r w:rsidR="009F1500">
        <w:t xml:space="preserve"> </w:t>
      </w:r>
      <w:r w:rsidR="00D56EA6">
        <w:t>outlines</w:t>
      </w:r>
      <w:r w:rsidR="009F1500">
        <w:t xml:space="preserve"> the formulation of two-pha</w:t>
      </w:r>
      <w:r w:rsidR="00D56EA6">
        <w:t>se flows within the SINDA/FLUINT</w:t>
      </w:r>
      <w:r w:rsidR="009F1500">
        <w:t xml:space="preserve"> framework.</w:t>
      </w:r>
    </w:p>
    <w:p w14:paraId="3AE00DE3" w14:textId="0877A6B4" w:rsidR="009F1500" w:rsidRDefault="009F1500" w:rsidP="009F1500">
      <w:pPr>
        <w:pStyle w:val="Heading1"/>
      </w:pPr>
      <w:r>
        <w:t>two-phase flow within sinda/fluint</w:t>
      </w:r>
    </w:p>
    <w:p w14:paraId="6741F875" w14:textId="67E3EB1C" w:rsidR="00744D32" w:rsidRDefault="00744D32" w:rsidP="00D55927">
      <w:pPr>
        <w:jc w:val="both"/>
      </w:pPr>
      <w:r>
        <w:t xml:space="preserve">Figure 1 shows a Baker </w:t>
      </w:r>
      <w:r w:rsidR="00953BAB">
        <w:t>map (aka Baker diagram)</w:t>
      </w:r>
      <w:r>
        <w:t xml:space="preserve"> which indicates the various flow regimes encountered in two-phase boiling flow within a horizontal pipe. </w:t>
      </w:r>
      <w:r w:rsidR="003C081A">
        <w:t>As outlined in [4] the Baker diagram was pioneered for use to characterize flow behavior</w:t>
      </w:r>
      <w:r w:rsidR="00D56EA6">
        <w:t xml:space="preserve"> on petroleum based flows. </w:t>
      </w:r>
    </w:p>
    <w:p w14:paraId="328F5606" w14:textId="450382F5" w:rsidR="00BD633B" w:rsidRDefault="00763D4A" w:rsidP="00D55927">
      <w:pPr>
        <w:pStyle w:val="Caption-Figure"/>
      </w:pPr>
      <w:r w:rsidRPr="00763D4A">
        <w:rPr>
          <w:noProof/>
        </w:rPr>
        <w:drawing>
          <wp:inline distT="0" distB="0" distL="0" distR="0" wp14:anchorId="783744FC" wp14:editId="3FB2410C">
            <wp:extent cx="4636561" cy="3396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9260" cy="3398274"/>
                    </a:xfrm>
                    <a:prstGeom prst="rect">
                      <a:avLst/>
                    </a:prstGeom>
                    <a:noFill/>
                    <a:ln>
                      <a:noFill/>
                    </a:ln>
                  </pic:spPr>
                </pic:pic>
              </a:graphicData>
            </a:graphic>
          </wp:inline>
        </w:drawing>
      </w:r>
    </w:p>
    <w:p w14:paraId="3EC21AD3" w14:textId="5DBC3EFC" w:rsidR="00D55927" w:rsidRDefault="00BD633B" w:rsidP="00D55927">
      <w:pPr>
        <w:pStyle w:val="Caption-Figure"/>
      </w:pPr>
      <w:r>
        <w:t xml:space="preserve">Figure </w:t>
      </w:r>
      <w:r w:rsidR="00C76D16">
        <w:rPr>
          <w:noProof/>
        </w:rPr>
        <w:t>1</w:t>
      </w:r>
      <w:r>
        <w:t xml:space="preserve">. </w:t>
      </w:r>
      <w:r w:rsidR="00032BD0">
        <w:t>Baker Diagram showing</w:t>
      </w:r>
      <w:r w:rsidR="00EC0791">
        <w:t xml:space="preserve"> MREG </w:t>
      </w:r>
      <w:r>
        <w:t>SINDA/FLUINT</w:t>
      </w:r>
      <w:r w:rsidR="00C76D16">
        <w:t xml:space="preserve"> boiling regimes.</w:t>
      </w:r>
      <w:r w:rsidR="0000466F">
        <w:t xml:space="preserve"> </w:t>
      </w:r>
    </w:p>
    <w:p w14:paraId="0DF8AF3D" w14:textId="77777777" w:rsidR="00D55927" w:rsidRDefault="00D55927" w:rsidP="00D55927">
      <w:pPr>
        <w:jc w:val="both"/>
      </w:pPr>
      <w:r>
        <w:t xml:space="preserve">Figure 1 plots the normalized mass flux of the vapor regime against the normalized mass flux of the fluid region.  The Baker map introduces the gas phase parameter, </w:t>
      </w:r>
      <w:r>
        <w:sym w:font="Symbol" w:char="F06C"/>
      </w:r>
      <w:r>
        <w:t xml:space="preserve"> and the liquid phase parameter </w:t>
      </w:r>
      <w:r>
        <w:sym w:font="Symbol" w:char="F079"/>
      </w:r>
      <w:r>
        <w:t xml:space="preserve"> in order to normalize the gas phase mass flux, </w:t>
      </w:r>
      <w:r w:rsidRPr="00953BAB">
        <w:rPr>
          <w:position w:val="-10"/>
        </w:rPr>
        <w:object w:dxaOrig="300" w:dyaOrig="300" w14:anchorId="23F51770">
          <v:shape id="_x0000_i1026" type="#_x0000_t75" style="width:15pt;height:15pt" o:ole="">
            <v:imagedata r:id="rId14" o:title=""/>
          </v:shape>
          <o:OLEObject Type="Embed" ProgID="Equation.DSMT4" ShapeID="_x0000_i1026" DrawAspect="Content" ObjectID="_1658682184" r:id="rId15"/>
        </w:object>
      </w:r>
      <w:r>
        <w:t xml:space="preserve"> and liquid phase mass flux </w:t>
      </w:r>
      <w:r w:rsidRPr="00953BAB">
        <w:rPr>
          <w:position w:val="-10"/>
        </w:rPr>
        <w:object w:dxaOrig="300" w:dyaOrig="300" w14:anchorId="0C90DD03">
          <v:shape id="_x0000_i1027" type="#_x0000_t75" style="width:15pt;height:15pt" o:ole="">
            <v:imagedata r:id="rId16" o:title=""/>
          </v:shape>
          <o:OLEObject Type="Embed" ProgID="Equation.DSMT4" ShapeID="_x0000_i1027" DrawAspect="Content" ObjectID="_1658682185" r:id="rId17"/>
        </w:object>
      </w:r>
      <w:r>
        <w:t xml:space="preserve"> as follows</w:t>
      </w:r>
    </w:p>
    <w:p w14:paraId="18677CC5" w14:textId="77777777" w:rsidR="00D55927" w:rsidRDefault="00D55927" w:rsidP="00D55927">
      <w:pPr>
        <w:jc w:val="right"/>
      </w:pPr>
      <w:r w:rsidRPr="00953BAB">
        <w:rPr>
          <w:position w:val="-28"/>
        </w:rPr>
        <w:object w:dxaOrig="1560" w:dyaOrig="700" w14:anchorId="2C7B6DD8">
          <v:shape id="_x0000_i1028" type="#_x0000_t75" style="width:78pt;height:35.25pt" o:ole="">
            <v:imagedata r:id="rId18" o:title=""/>
          </v:shape>
          <o:OLEObject Type="Embed" ProgID="Equation.DSMT4" ShapeID="_x0000_i1028" DrawAspect="Content" ObjectID="_1658682186" r:id="rId19"/>
        </w:object>
      </w:r>
      <w:r>
        <w:t xml:space="preserve"> </w:t>
      </w:r>
      <w:r>
        <w:tab/>
      </w:r>
      <w:r>
        <w:tab/>
      </w:r>
      <w:r>
        <w:tab/>
      </w:r>
      <w:r>
        <w:tab/>
      </w:r>
      <w:r>
        <w:tab/>
        <w:t xml:space="preserve"> (1)</w:t>
      </w:r>
    </w:p>
    <w:p w14:paraId="552A6197" w14:textId="77777777" w:rsidR="00D55927" w:rsidRDefault="00D55927" w:rsidP="00D55927">
      <w:pPr>
        <w:jc w:val="right"/>
      </w:pPr>
      <w:r w:rsidRPr="00A528EE">
        <w:rPr>
          <w:position w:val="-30"/>
        </w:rPr>
        <w:object w:dxaOrig="2760" w:dyaOrig="740" w14:anchorId="1631C253">
          <v:shape id="_x0000_i1029" type="#_x0000_t75" style="width:138pt;height:37.5pt" o:ole="">
            <v:imagedata r:id="rId20" o:title=""/>
          </v:shape>
          <o:OLEObject Type="Embed" ProgID="Equation.DSMT4" ShapeID="_x0000_i1029" DrawAspect="Content" ObjectID="_1658682187" r:id="rId21"/>
        </w:object>
      </w:r>
      <w:r>
        <w:t xml:space="preserve"> </w:t>
      </w:r>
      <w:r>
        <w:tab/>
      </w:r>
      <w:r>
        <w:tab/>
      </w:r>
      <w:r>
        <w:tab/>
      </w:r>
      <w:r>
        <w:tab/>
      </w:r>
      <w:r>
        <w:tab/>
        <w:t>(2)</w:t>
      </w:r>
    </w:p>
    <w:p w14:paraId="7ECAE849" w14:textId="6C7005E4" w:rsidR="008C34F0" w:rsidRDefault="00D55927" w:rsidP="001825F7">
      <w:pPr>
        <w:jc w:val="both"/>
      </w:pPr>
      <w:r>
        <w:t xml:space="preserve">where the reference properties </w:t>
      </w:r>
      <w:r>
        <w:sym w:font="Symbol" w:char="F072"/>
      </w:r>
      <w:r w:rsidRPr="00682FC5">
        <w:rPr>
          <w:vertAlign w:val="subscript"/>
        </w:rPr>
        <w:t>G</w:t>
      </w:r>
      <w:r>
        <w:t xml:space="preserve"> = 1000 kg/m</w:t>
      </w:r>
      <w:r w:rsidRPr="00D55927">
        <w:rPr>
          <w:vertAlign w:val="superscript"/>
        </w:rPr>
        <w:t>3</w:t>
      </w:r>
      <w:r>
        <w:t xml:space="preserve">, </w:t>
      </w:r>
      <w:r>
        <w:sym w:font="Symbol" w:char="F072"/>
      </w:r>
      <w:r w:rsidRPr="00682FC5">
        <w:rPr>
          <w:vertAlign w:val="subscript"/>
        </w:rPr>
        <w:t>L</w:t>
      </w:r>
      <w:r>
        <w:t xml:space="preserve"> = 1.23 kg/m</w:t>
      </w:r>
      <w:r w:rsidRPr="00D55927">
        <w:rPr>
          <w:vertAlign w:val="superscript"/>
        </w:rPr>
        <w:t>3</w:t>
      </w:r>
      <w:r>
        <w:t xml:space="preserve">,  </w:t>
      </w:r>
      <w:r>
        <w:sym w:font="Symbol" w:char="F06D"/>
      </w:r>
      <w:r w:rsidRPr="00682FC5">
        <w:rPr>
          <w:vertAlign w:val="subscript"/>
        </w:rPr>
        <w:t>L</w:t>
      </w:r>
      <w:r>
        <w:t>=0.001 N-sec/m</w:t>
      </w:r>
      <w:r w:rsidRPr="00D55927">
        <w:rPr>
          <w:vertAlign w:val="superscript"/>
        </w:rPr>
        <w:t>2</w:t>
      </w:r>
      <w:r>
        <w:t xml:space="preserve">, and </w:t>
      </w:r>
      <w:r>
        <w:sym w:font="Symbol" w:char="F073"/>
      </w:r>
      <w:r w:rsidRPr="00682FC5">
        <w:rPr>
          <w:vertAlign w:val="subscript"/>
        </w:rPr>
        <w:t>water</w:t>
      </w:r>
      <w:r>
        <w:t xml:space="preserve">= 0.072 N/m are the gas density, liquid density, liquid absolute viscosity, and surface  tension [5]. Shown on Figure 1 are the various flow structures to be expected within a two-phase flow, i.e. annular, wavy, stratified, slug, plug and bubbly flows. Figure 1 also indicates the SINDA/FLUINT variable MREG, which is used in post-processing to identify the two-phase region of flow being dealt with in the simulation.  </w:t>
      </w:r>
      <w:r w:rsidR="00F245BF">
        <w:t xml:space="preserve">The SINDA/FLUINT software uses a variety of two-phase correlations for the modeling of the boiling flow. </w:t>
      </w:r>
      <w:r w:rsidR="001825F7">
        <w:t xml:space="preserve">The SINDA/FLUINT variable IPDC </w:t>
      </w:r>
      <w:r w:rsidR="00135D0C">
        <w:t xml:space="preserve">(frictional pressure drop correlation number) </w:t>
      </w:r>
      <w:r w:rsidR="001825F7">
        <w:t>is used to specify the two-phase frictional pressure drop correlation to be used during the simulation. Table 1 lists the values of IPDC available in SINDA/FLUINT</w:t>
      </w:r>
      <w:r>
        <w:t xml:space="preserve"> [6]</w:t>
      </w:r>
      <w:r w:rsidR="001825F7">
        <w:t>.</w:t>
      </w:r>
    </w:p>
    <w:p w14:paraId="0C5BFBE1" w14:textId="605C313E" w:rsidR="00744D32" w:rsidRDefault="00744D32" w:rsidP="00C52105">
      <w:pPr>
        <w:pStyle w:val="Caption-Figure"/>
      </w:pPr>
      <w:r>
        <w:t>Table 1 – IPDC Two-phase frictional pressure drop correlation variable</w:t>
      </w:r>
    </w:p>
    <w:tbl>
      <w:tblPr>
        <w:tblStyle w:val="TableGrid"/>
        <w:tblW w:w="0" w:type="auto"/>
        <w:jc w:val="center"/>
        <w:tblLook w:val="04A0" w:firstRow="1" w:lastRow="0" w:firstColumn="1" w:lastColumn="0" w:noHBand="0" w:noVBand="1"/>
      </w:tblPr>
      <w:tblGrid>
        <w:gridCol w:w="796"/>
        <w:gridCol w:w="6399"/>
      </w:tblGrid>
      <w:tr w:rsidR="001825F7" w14:paraId="4DBE250E" w14:textId="77777777" w:rsidTr="00D55927">
        <w:trPr>
          <w:jc w:val="center"/>
        </w:trPr>
        <w:tc>
          <w:tcPr>
            <w:tcW w:w="796" w:type="dxa"/>
          </w:tcPr>
          <w:p w14:paraId="25FB08AC" w14:textId="069E55A4" w:rsidR="001825F7" w:rsidRDefault="00135D0C" w:rsidP="001825F7">
            <w:pPr>
              <w:jc w:val="center"/>
            </w:pPr>
            <w:r>
              <w:t>IPDC</w:t>
            </w:r>
          </w:p>
        </w:tc>
        <w:tc>
          <w:tcPr>
            <w:tcW w:w="6399" w:type="dxa"/>
          </w:tcPr>
          <w:p w14:paraId="2A886602" w14:textId="76D95E71" w:rsidR="001825F7" w:rsidRDefault="001825F7" w:rsidP="001825F7">
            <w:pPr>
              <w:jc w:val="center"/>
            </w:pPr>
            <w:r>
              <w:t>TWO-PHASE PRESSURE DROP CORRELATION</w:t>
            </w:r>
          </w:p>
        </w:tc>
      </w:tr>
      <w:tr w:rsidR="001825F7" w14:paraId="68C3B075" w14:textId="77777777" w:rsidTr="00D55927">
        <w:trPr>
          <w:jc w:val="center"/>
        </w:trPr>
        <w:tc>
          <w:tcPr>
            <w:tcW w:w="796" w:type="dxa"/>
          </w:tcPr>
          <w:p w14:paraId="12A06B1F" w14:textId="77777777" w:rsidR="001825F7" w:rsidRDefault="001825F7" w:rsidP="001825F7">
            <w:pPr>
              <w:jc w:val="center"/>
            </w:pPr>
            <w:r>
              <w:t>0</w:t>
            </w:r>
          </w:p>
        </w:tc>
        <w:tc>
          <w:tcPr>
            <w:tcW w:w="6399" w:type="dxa"/>
          </w:tcPr>
          <w:p w14:paraId="2F3A405B" w14:textId="77777777" w:rsidR="001825F7" w:rsidRDefault="001825F7" w:rsidP="001825F7">
            <w:pPr>
              <w:jc w:val="center"/>
            </w:pPr>
            <w:r>
              <w:t>USER INPUT FOR SINGLE PHASE FLOW</w:t>
            </w:r>
          </w:p>
        </w:tc>
      </w:tr>
      <w:tr w:rsidR="001825F7" w14:paraId="23A99A6F" w14:textId="77777777" w:rsidTr="00D55927">
        <w:trPr>
          <w:jc w:val="center"/>
        </w:trPr>
        <w:tc>
          <w:tcPr>
            <w:tcW w:w="796" w:type="dxa"/>
          </w:tcPr>
          <w:p w14:paraId="36556AB2" w14:textId="77777777" w:rsidR="001825F7" w:rsidRDefault="001825F7" w:rsidP="001825F7">
            <w:pPr>
              <w:jc w:val="center"/>
            </w:pPr>
            <w:r>
              <w:t>1</w:t>
            </w:r>
          </w:p>
        </w:tc>
        <w:tc>
          <w:tcPr>
            <w:tcW w:w="6399" w:type="dxa"/>
          </w:tcPr>
          <w:p w14:paraId="05EB019D" w14:textId="77777777" w:rsidR="001825F7" w:rsidRDefault="001825F7" w:rsidP="001825F7">
            <w:pPr>
              <w:jc w:val="center"/>
            </w:pPr>
            <w:r>
              <w:t>MCADAM’S HOMOGENEOUS</w:t>
            </w:r>
          </w:p>
        </w:tc>
      </w:tr>
      <w:tr w:rsidR="001825F7" w14:paraId="0C74C112" w14:textId="77777777" w:rsidTr="00D55927">
        <w:trPr>
          <w:jc w:val="center"/>
        </w:trPr>
        <w:tc>
          <w:tcPr>
            <w:tcW w:w="796" w:type="dxa"/>
          </w:tcPr>
          <w:p w14:paraId="3C966938" w14:textId="77777777" w:rsidR="001825F7" w:rsidRDefault="001825F7" w:rsidP="001825F7">
            <w:pPr>
              <w:jc w:val="center"/>
            </w:pPr>
            <w:r>
              <w:t>2</w:t>
            </w:r>
          </w:p>
        </w:tc>
        <w:tc>
          <w:tcPr>
            <w:tcW w:w="6399" w:type="dxa"/>
          </w:tcPr>
          <w:p w14:paraId="714F5B76" w14:textId="77777777" w:rsidR="001825F7" w:rsidRDefault="001825F7" w:rsidP="001825F7">
            <w:pPr>
              <w:jc w:val="center"/>
            </w:pPr>
            <w:r>
              <w:t>LOCKHART-MARTINELLI</w:t>
            </w:r>
          </w:p>
        </w:tc>
      </w:tr>
      <w:tr w:rsidR="001825F7" w14:paraId="3BFBF41A" w14:textId="77777777" w:rsidTr="00D55927">
        <w:trPr>
          <w:jc w:val="center"/>
        </w:trPr>
        <w:tc>
          <w:tcPr>
            <w:tcW w:w="796" w:type="dxa"/>
          </w:tcPr>
          <w:p w14:paraId="761F851C" w14:textId="77777777" w:rsidR="001825F7" w:rsidRDefault="001825F7" w:rsidP="001825F7">
            <w:pPr>
              <w:jc w:val="center"/>
            </w:pPr>
            <w:r>
              <w:t>3</w:t>
            </w:r>
          </w:p>
        </w:tc>
        <w:tc>
          <w:tcPr>
            <w:tcW w:w="6399" w:type="dxa"/>
          </w:tcPr>
          <w:p w14:paraId="32427E81" w14:textId="77777777" w:rsidR="001825F7" w:rsidRDefault="001825F7" w:rsidP="001825F7">
            <w:pPr>
              <w:jc w:val="center"/>
            </w:pPr>
            <w:r>
              <w:t>BAROCZY</w:t>
            </w:r>
          </w:p>
        </w:tc>
      </w:tr>
      <w:tr w:rsidR="001825F7" w14:paraId="5F3F217E" w14:textId="77777777" w:rsidTr="00D55927">
        <w:trPr>
          <w:jc w:val="center"/>
        </w:trPr>
        <w:tc>
          <w:tcPr>
            <w:tcW w:w="796" w:type="dxa"/>
          </w:tcPr>
          <w:p w14:paraId="4BD07019" w14:textId="77777777" w:rsidR="001825F7" w:rsidRDefault="001825F7" w:rsidP="001825F7">
            <w:pPr>
              <w:jc w:val="center"/>
            </w:pPr>
            <w:r>
              <w:t>4</w:t>
            </w:r>
          </w:p>
        </w:tc>
        <w:tc>
          <w:tcPr>
            <w:tcW w:w="6399" w:type="dxa"/>
          </w:tcPr>
          <w:p w14:paraId="16694314" w14:textId="77777777" w:rsidR="001825F7" w:rsidRDefault="001825F7" w:rsidP="001825F7">
            <w:pPr>
              <w:jc w:val="center"/>
            </w:pPr>
            <w:r>
              <w:t>FRIEDEL</w:t>
            </w:r>
          </w:p>
        </w:tc>
      </w:tr>
      <w:tr w:rsidR="001825F7" w14:paraId="771E2C96" w14:textId="77777777" w:rsidTr="00D55927">
        <w:trPr>
          <w:jc w:val="center"/>
        </w:trPr>
        <w:tc>
          <w:tcPr>
            <w:tcW w:w="796" w:type="dxa"/>
          </w:tcPr>
          <w:p w14:paraId="13F4C6B4" w14:textId="77777777" w:rsidR="001825F7" w:rsidRDefault="001825F7" w:rsidP="001825F7">
            <w:pPr>
              <w:jc w:val="center"/>
            </w:pPr>
            <w:r>
              <w:t>5</w:t>
            </w:r>
          </w:p>
        </w:tc>
        <w:tc>
          <w:tcPr>
            <w:tcW w:w="6399" w:type="dxa"/>
          </w:tcPr>
          <w:p w14:paraId="30779865" w14:textId="77777777" w:rsidR="001825F7" w:rsidRDefault="001825F7" w:rsidP="001825F7">
            <w:pPr>
              <w:jc w:val="center"/>
            </w:pPr>
            <w:r>
              <w:t>WHALLEY</w:t>
            </w:r>
          </w:p>
        </w:tc>
      </w:tr>
      <w:tr w:rsidR="001825F7" w14:paraId="114D4CC4" w14:textId="77777777" w:rsidTr="00D55927">
        <w:trPr>
          <w:jc w:val="center"/>
        </w:trPr>
        <w:tc>
          <w:tcPr>
            <w:tcW w:w="796" w:type="dxa"/>
          </w:tcPr>
          <w:p w14:paraId="5BA164C9" w14:textId="77777777" w:rsidR="001825F7" w:rsidRDefault="001825F7" w:rsidP="001825F7">
            <w:pPr>
              <w:jc w:val="center"/>
            </w:pPr>
            <w:r>
              <w:t>6</w:t>
            </w:r>
          </w:p>
        </w:tc>
        <w:tc>
          <w:tcPr>
            <w:tcW w:w="6399" w:type="dxa"/>
          </w:tcPr>
          <w:p w14:paraId="59A45B3E" w14:textId="06BCA0FD" w:rsidR="001825F7" w:rsidRDefault="001825F7" w:rsidP="00CF3CF3">
            <w:pPr>
              <w:jc w:val="center"/>
            </w:pPr>
            <w:r>
              <w:t xml:space="preserve">FLOW REGIME </w:t>
            </w:r>
            <w:r w:rsidR="00CF3CF3">
              <w:t>BASED (SEE TABLE 2)</w:t>
            </w:r>
          </w:p>
        </w:tc>
      </w:tr>
    </w:tbl>
    <w:p w14:paraId="42DB1E9D" w14:textId="77777777" w:rsidR="00D55927" w:rsidRDefault="00D55927" w:rsidP="001825F7">
      <w:pPr>
        <w:jc w:val="both"/>
        <w:rPr>
          <w:b/>
          <w:bCs/>
          <w:szCs w:val="24"/>
        </w:rPr>
      </w:pPr>
    </w:p>
    <w:p w14:paraId="71A08A14" w14:textId="3B47AFBA" w:rsidR="004F62B0" w:rsidRDefault="001825F7" w:rsidP="001825F7">
      <w:pPr>
        <w:jc w:val="both"/>
      </w:pPr>
      <w:r>
        <w:t>Under the category of IPDC = 6, the following additional variable setting associate the flow regime to the region shown in the Baker diagram of Figure 1 as shown in Table 2</w:t>
      </w:r>
      <w:r w:rsidR="00D55927">
        <w:t xml:space="preserve"> which is adapted from [6]</w:t>
      </w:r>
      <w:r>
        <w:t>.</w:t>
      </w:r>
      <w:r w:rsidR="00F245BF">
        <w:t xml:space="preserve"> </w:t>
      </w:r>
      <w:r w:rsidR="004F62B0">
        <w:t>Within SINDA/FLUINT, four generalized regimes are recognized, bubbly, slug, annular and stratified [6].  Misty annular, mist flow regimes and inverted annular are not currently implemented within SINDA/FLUI</w:t>
      </w:r>
      <w:r w:rsidR="00E16FA6">
        <w:t>N</w:t>
      </w:r>
      <w:r w:rsidR="004F62B0">
        <w:t>T as of Vers</w:t>
      </w:r>
      <w:r w:rsidR="00813D35">
        <w:t>ion 5.8, and no regimes include</w:t>
      </w:r>
      <w:r w:rsidR="004F62B0">
        <w:t xml:space="preserve"> entrained droplets.  The bubbly and slug regimes are considered to be dispersed, while the annular and stratified regimes are taken to be separated. The distinction between the regimes modeled by SINDA/FLUINT includes various parameters including the liquid and vapor mass fluxes, the void </w:t>
      </w:r>
      <w:r w:rsidR="004F62B0">
        <w:lastRenderedPageBreak/>
        <w:t xml:space="preserve">fraction, the hydraulic diameter, the magnitude of body forces, fluid properties (density, viscosity, surface tension) and when no clear determination can be made the previous flow regimes.  </w:t>
      </w:r>
      <w:r w:rsidR="00591B59">
        <w:t xml:space="preserve"> Practically speaking, SINDA/FLUINT picks the correlation when I</w:t>
      </w:r>
      <w:r w:rsidR="00E16FA6">
        <w:t xml:space="preserve">PDC = 6. </w:t>
      </w:r>
    </w:p>
    <w:p w14:paraId="14AC0717" w14:textId="4AA060AC" w:rsidR="00BB4960" w:rsidRDefault="00BB4960" w:rsidP="000A1604">
      <w:pPr>
        <w:pStyle w:val="Caption-Figure"/>
      </w:pPr>
      <w:r>
        <w:t xml:space="preserve">Table </w:t>
      </w:r>
      <w:r w:rsidR="000A1604">
        <w:t>2</w:t>
      </w:r>
      <w:r>
        <w:t xml:space="preserve"> – IPDC Flow regime</w:t>
      </w:r>
      <w:r w:rsidR="00832205">
        <w:t xml:space="preserve"> parameter</w:t>
      </w:r>
    </w:p>
    <w:tbl>
      <w:tblPr>
        <w:tblStyle w:val="TableGrid"/>
        <w:tblW w:w="0" w:type="auto"/>
        <w:jc w:val="center"/>
        <w:tblLook w:val="04A0" w:firstRow="1" w:lastRow="0" w:firstColumn="1" w:lastColumn="0" w:noHBand="0" w:noVBand="1"/>
      </w:tblPr>
      <w:tblGrid>
        <w:gridCol w:w="796"/>
        <w:gridCol w:w="5769"/>
      </w:tblGrid>
      <w:tr w:rsidR="00CF3CF3" w14:paraId="7073E83E" w14:textId="77777777" w:rsidTr="00D55927">
        <w:trPr>
          <w:jc w:val="center"/>
        </w:trPr>
        <w:tc>
          <w:tcPr>
            <w:tcW w:w="796" w:type="dxa"/>
          </w:tcPr>
          <w:p w14:paraId="68B341E1" w14:textId="6F422203" w:rsidR="00CF3CF3" w:rsidRDefault="00CF3CF3" w:rsidP="00C45BA8">
            <w:pPr>
              <w:jc w:val="center"/>
            </w:pPr>
            <w:r>
              <w:t xml:space="preserve">IPDC </w:t>
            </w:r>
          </w:p>
        </w:tc>
        <w:tc>
          <w:tcPr>
            <w:tcW w:w="5769" w:type="dxa"/>
          </w:tcPr>
          <w:p w14:paraId="3FF33638" w14:textId="2DC1E823" w:rsidR="00CF3CF3" w:rsidRDefault="00CF3CF3" w:rsidP="00832205">
            <w:pPr>
              <w:jc w:val="center"/>
            </w:pPr>
            <w:r>
              <w:t>FLOW REGIME USED</w:t>
            </w:r>
          </w:p>
        </w:tc>
      </w:tr>
      <w:tr w:rsidR="00BB4960" w14:paraId="2641ECD3" w14:textId="77777777" w:rsidTr="00D55927">
        <w:trPr>
          <w:jc w:val="center"/>
        </w:trPr>
        <w:tc>
          <w:tcPr>
            <w:tcW w:w="796" w:type="dxa"/>
          </w:tcPr>
          <w:p w14:paraId="1FFF2F4D" w14:textId="721A1CF8" w:rsidR="00BB4960" w:rsidRDefault="00D55927" w:rsidP="00C45BA8">
            <w:pPr>
              <w:jc w:val="center"/>
            </w:pPr>
            <w:r>
              <w:t>6-</w:t>
            </w:r>
            <w:r w:rsidR="00BB4960">
              <w:t>1</w:t>
            </w:r>
          </w:p>
        </w:tc>
        <w:tc>
          <w:tcPr>
            <w:tcW w:w="5769" w:type="dxa"/>
          </w:tcPr>
          <w:p w14:paraId="1BC66CA0" w14:textId="7AC1EB07" w:rsidR="00BB4960" w:rsidRDefault="00BB4960" w:rsidP="00832205">
            <w:pPr>
              <w:jc w:val="center"/>
            </w:pPr>
            <w:r>
              <w:t xml:space="preserve"> BUBBLY REGIME</w:t>
            </w:r>
          </w:p>
        </w:tc>
      </w:tr>
      <w:tr w:rsidR="00BB4960" w14:paraId="63B69453" w14:textId="77777777" w:rsidTr="00D55927">
        <w:trPr>
          <w:jc w:val="center"/>
        </w:trPr>
        <w:tc>
          <w:tcPr>
            <w:tcW w:w="796" w:type="dxa"/>
          </w:tcPr>
          <w:p w14:paraId="4A27250E" w14:textId="25AD55F6" w:rsidR="00BB4960" w:rsidRDefault="00D55927" w:rsidP="00C45BA8">
            <w:pPr>
              <w:jc w:val="center"/>
            </w:pPr>
            <w:r>
              <w:t>6-</w:t>
            </w:r>
            <w:r w:rsidR="00BB4960">
              <w:t>2</w:t>
            </w:r>
          </w:p>
        </w:tc>
        <w:tc>
          <w:tcPr>
            <w:tcW w:w="5769" w:type="dxa"/>
          </w:tcPr>
          <w:p w14:paraId="5AC57216" w14:textId="52D18097" w:rsidR="00BB4960" w:rsidRDefault="00BB4960" w:rsidP="00C45BA8">
            <w:pPr>
              <w:jc w:val="center"/>
            </w:pPr>
            <w:r>
              <w:t>SLUG REGIME</w:t>
            </w:r>
          </w:p>
        </w:tc>
      </w:tr>
      <w:tr w:rsidR="00BB4960" w14:paraId="378E3F01" w14:textId="77777777" w:rsidTr="00D55927">
        <w:trPr>
          <w:jc w:val="center"/>
        </w:trPr>
        <w:tc>
          <w:tcPr>
            <w:tcW w:w="796" w:type="dxa"/>
          </w:tcPr>
          <w:p w14:paraId="6E65284A" w14:textId="2237DC21" w:rsidR="00BB4960" w:rsidRDefault="00D55927" w:rsidP="00C45BA8">
            <w:pPr>
              <w:jc w:val="center"/>
            </w:pPr>
            <w:r>
              <w:t>6-</w:t>
            </w:r>
            <w:r w:rsidR="00BB4960">
              <w:t>3</w:t>
            </w:r>
          </w:p>
        </w:tc>
        <w:tc>
          <w:tcPr>
            <w:tcW w:w="5769" w:type="dxa"/>
          </w:tcPr>
          <w:p w14:paraId="39C78D8D" w14:textId="48C88075" w:rsidR="00BB4960" w:rsidRDefault="00BB4960" w:rsidP="00C45BA8">
            <w:pPr>
              <w:jc w:val="center"/>
            </w:pPr>
            <w:r>
              <w:t>ANNULAR REGIME</w:t>
            </w:r>
          </w:p>
        </w:tc>
      </w:tr>
      <w:tr w:rsidR="00BB4960" w14:paraId="0F567D85" w14:textId="77777777" w:rsidTr="00D55927">
        <w:trPr>
          <w:jc w:val="center"/>
        </w:trPr>
        <w:tc>
          <w:tcPr>
            <w:tcW w:w="796" w:type="dxa"/>
          </w:tcPr>
          <w:p w14:paraId="6713C89A" w14:textId="686ED100" w:rsidR="00BB4960" w:rsidRDefault="00D55927" w:rsidP="00C45BA8">
            <w:pPr>
              <w:jc w:val="center"/>
            </w:pPr>
            <w:r>
              <w:t>6-</w:t>
            </w:r>
            <w:r w:rsidR="00BB4960">
              <w:t>4</w:t>
            </w:r>
          </w:p>
        </w:tc>
        <w:tc>
          <w:tcPr>
            <w:tcW w:w="5769" w:type="dxa"/>
          </w:tcPr>
          <w:p w14:paraId="7D03A178" w14:textId="39CF724E" w:rsidR="00BB4960" w:rsidRDefault="00BB4960" w:rsidP="00C45BA8">
            <w:pPr>
              <w:jc w:val="center"/>
            </w:pPr>
            <w:r>
              <w:t>STRATIFIED REGIME</w:t>
            </w:r>
          </w:p>
        </w:tc>
      </w:tr>
      <w:tr w:rsidR="00BB4960" w14:paraId="7DB58823" w14:textId="77777777" w:rsidTr="00D55927">
        <w:trPr>
          <w:jc w:val="center"/>
        </w:trPr>
        <w:tc>
          <w:tcPr>
            <w:tcW w:w="796" w:type="dxa"/>
          </w:tcPr>
          <w:p w14:paraId="041A13CA" w14:textId="0EBBD525" w:rsidR="00BB4960" w:rsidRDefault="00D55927" w:rsidP="00C45BA8">
            <w:pPr>
              <w:jc w:val="center"/>
            </w:pPr>
            <w:r>
              <w:t>6-</w:t>
            </w:r>
            <w:r w:rsidR="00BB4960">
              <w:t>5</w:t>
            </w:r>
          </w:p>
        </w:tc>
        <w:tc>
          <w:tcPr>
            <w:tcW w:w="5769" w:type="dxa"/>
          </w:tcPr>
          <w:p w14:paraId="7775CFE5" w14:textId="1AFCAAB3" w:rsidR="00BB4960" w:rsidRDefault="00832205" w:rsidP="00C45BA8">
            <w:pPr>
              <w:jc w:val="center"/>
            </w:pPr>
            <w:r>
              <w:t>AXIALLY STRATIFIED REGIME</w:t>
            </w:r>
          </w:p>
        </w:tc>
      </w:tr>
    </w:tbl>
    <w:p w14:paraId="0E38997A" w14:textId="77777777" w:rsidR="004F62B0" w:rsidRDefault="004F62B0" w:rsidP="001825F7">
      <w:pPr>
        <w:jc w:val="both"/>
      </w:pPr>
    </w:p>
    <w:p w14:paraId="58CE350B" w14:textId="1E07046F" w:rsidR="00BB4960" w:rsidRDefault="003E124C" w:rsidP="001825F7">
      <w:pPr>
        <w:jc w:val="both"/>
      </w:pPr>
      <w:r>
        <w:t>Bubbly flow characterized by small vapor bubbles entrained in the liquid typically occur at the extremes of low gravity, high liquid mass fluxes wit</w:t>
      </w:r>
      <w:r w:rsidR="00D56EA6">
        <w:t>h respect to the vapor mass flu</w:t>
      </w:r>
      <w:r>
        <w:t>x, a</w:t>
      </w:r>
      <w:r w:rsidR="00ED241D">
        <w:t>nd low void fractions</w:t>
      </w:r>
      <w:r>
        <w:t xml:space="preserve">. Slug flow exhibits large bubbles that can span the diameter of the tube and are separated from one another by liquid.  Both slug and bubbly flows are typically low slip </w:t>
      </w:r>
      <w:r w:rsidR="00D55927">
        <w:t>flows and approximate a homogen</w:t>
      </w:r>
      <w:r>
        <w:t>ous flow. Here the McAdam’s cor</w:t>
      </w:r>
      <w:r w:rsidR="00CF3CF3">
        <w:t>relation for homogenous flow (I</w:t>
      </w:r>
      <w:r>
        <w:t>P</w:t>
      </w:r>
      <w:r w:rsidR="00CF3CF3">
        <w:t>C</w:t>
      </w:r>
      <w:r>
        <w:t xml:space="preserve">C = 1) is used.  The annular </w:t>
      </w:r>
      <w:r w:rsidR="000D2870">
        <w:t>regime of flow is characterized by a contin</w:t>
      </w:r>
      <w:r w:rsidR="00D55927">
        <w:t>uous vapor core encas</w:t>
      </w:r>
      <w:r w:rsidR="000D2870">
        <w:t xml:space="preserve">ed by a </w:t>
      </w:r>
      <w:r w:rsidR="00ED241D">
        <w:t>continuous</w:t>
      </w:r>
      <w:r w:rsidR="000D2870">
        <w:t xml:space="preserve"> </w:t>
      </w:r>
      <w:r w:rsidR="00ED241D">
        <w:t>liquid</w:t>
      </w:r>
      <w:r w:rsidR="000D2870">
        <w:t xml:space="preserve"> annulus. In the majority of two-phase flow systems, annular is the most common and within SINDA/FLUINT, the Lockhart-Martinelli (IPDC = 2) correlation is used here. The stratified regime is </w:t>
      </w:r>
      <w:r w:rsidR="00ED241D">
        <w:t>characterized</w:t>
      </w:r>
      <w:r w:rsidR="000D2870">
        <w:t xml:space="preserve"> by liquid pooling in the bottom of the tube, which happened when the vapor mass flux or the liquid fraction is low enough, or the gravity body force large enough</w:t>
      </w:r>
      <w:r w:rsidR="00986448">
        <w:t xml:space="preserve">. Stratified flows are modeled using IPDC = 4 or 5 depending on the whether or not the flow is vertically or axially stratified.  </w:t>
      </w:r>
      <w:r w:rsidR="00BB4960">
        <w:t xml:space="preserve"> The next section of the paper presents the problem set up for the modeling of the two-phase boiling LN2 flow within a ground station heat exchanger.</w:t>
      </w:r>
    </w:p>
    <w:p w14:paraId="3535F353" w14:textId="7A8C1B37" w:rsidR="00BB4960" w:rsidRPr="003A0D50" w:rsidRDefault="00BB4960" w:rsidP="00BB4960">
      <w:pPr>
        <w:pStyle w:val="Heading1"/>
      </w:pPr>
      <w:r>
        <w:t>PROBLEM FORMULATion</w:t>
      </w:r>
    </w:p>
    <w:p w14:paraId="5A2B5516" w14:textId="798FD805" w:rsidR="00744D32" w:rsidRDefault="003C081A" w:rsidP="003C081A">
      <w:pPr>
        <w:jc w:val="both"/>
      </w:pPr>
      <w:r>
        <w:t xml:space="preserve">The purpose of this paper is to serve as a case study of how to use the SINDA/ FLUINT Thermal Desktop/FLOCAD modeling suite of tools to simulate two-phase heat transfer in a </w:t>
      </w:r>
      <w:r w:rsidR="00B47BB8">
        <w:t xml:space="preserve">commonly encountered application.  The motivation of the current paper stemmed from a desire to </w:t>
      </w:r>
      <w:r w:rsidR="002F36EC">
        <w:t>understand</w:t>
      </w:r>
      <w:r w:rsidR="00B47BB8">
        <w:t xml:space="preserve"> the flow and heat transfer behavior of a LN2 based ground test heat </w:t>
      </w:r>
      <w:r w:rsidR="002F36EC">
        <w:t>exchanger, which</w:t>
      </w:r>
      <w:r w:rsidR="00B47BB8">
        <w:t xml:space="preserve"> is used as a forcing function for TVAC testing of a spacecraft’s heat </w:t>
      </w:r>
      <w:r w:rsidR="002F36EC">
        <w:t>rejection</w:t>
      </w:r>
      <w:r w:rsidR="00B47BB8">
        <w:t xml:space="preserve"> system. Simulations of the prediction of the time constant of this ground test heat exchanger allowed the systems engineering and test implementation team to gage a better understanding of the </w:t>
      </w:r>
      <w:r w:rsidR="002F36EC">
        <w:t>turnaround</w:t>
      </w:r>
      <w:r w:rsidR="00B47BB8">
        <w:t xml:space="preserve"> time affiliated with testing the flight hardware. Thus, accurate predictions of the two-</w:t>
      </w:r>
      <w:r w:rsidR="00B47BB8">
        <w:lastRenderedPageBreak/>
        <w:t xml:space="preserve">phase flow </w:t>
      </w:r>
      <w:r w:rsidR="002F36EC">
        <w:t>behavior</w:t>
      </w:r>
      <w:r w:rsidR="00B47BB8">
        <w:t xml:space="preserve"> are paramount in order to correctly inform the system engineering and test implementation team of the time constants associated with the test procedure.  </w:t>
      </w:r>
      <w:r>
        <w:t xml:space="preserve">The Thermal Desktop / FLOCAD geometry of the ground test LN2 heat exchanger simulated here in shown in Figure 2. Figure 2 show the heat exchanger modeled using Thermal Desktop rectangular primitives for the heat exchanger plate, and the heat exchanger piping modeled using an ATUOCAD </w:t>
      </w:r>
      <w:r w:rsidR="002F36EC">
        <w:t>POLYLINE</w:t>
      </w:r>
      <w:r w:rsidR="00E73AD4">
        <w:t xml:space="preserve"> PIPE entity</w:t>
      </w:r>
      <w:r w:rsidR="002F36EC">
        <w:t>, which</w:t>
      </w:r>
      <w:r>
        <w:t xml:space="preserve"> was used to generate the STUBES comprising the horizontal segments of the pipe. </w:t>
      </w:r>
      <w:r w:rsidR="00591B59">
        <w:t>Within SINDA/FLUINT an STUBE denote the short tube, which is a flow connector used in creating fluid flow network models in SINDA/FLUINT [6].</w:t>
      </w:r>
      <w:r>
        <w:t xml:space="preserve"> A plenum was used to model the inlet and exit, which are treated as </w:t>
      </w:r>
      <w:r w:rsidR="002F36EC">
        <w:t>reservoirs</w:t>
      </w:r>
      <w:r>
        <w:t xml:space="preserve"> herein.</w:t>
      </w:r>
    </w:p>
    <w:p w14:paraId="5EF3A051" w14:textId="7E4F86AC" w:rsidR="008C34F0" w:rsidRDefault="008C34F0" w:rsidP="00C52105">
      <w:pPr>
        <w:pStyle w:val="Caption-Figure"/>
      </w:pPr>
      <w:r w:rsidRPr="008C34F0">
        <w:rPr>
          <w:noProof/>
        </w:rPr>
        <w:drawing>
          <wp:inline distT="0" distB="0" distL="0" distR="0" wp14:anchorId="4BEE77FC" wp14:editId="421E668A">
            <wp:extent cx="4724400" cy="26736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42049" cy="2683615"/>
                    </a:xfrm>
                    <a:prstGeom prst="rect">
                      <a:avLst/>
                    </a:prstGeom>
                  </pic:spPr>
                </pic:pic>
              </a:graphicData>
            </a:graphic>
          </wp:inline>
        </w:drawing>
      </w:r>
    </w:p>
    <w:p w14:paraId="5563C2E6" w14:textId="1C332DF0" w:rsidR="008C34F0" w:rsidRPr="002A66CF" w:rsidRDefault="008C34F0" w:rsidP="002A66CF">
      <w:pPr>
        <w:pStyle w:val="FigureTitle"/>
        <w:rPr>
          <w:rFonts w:asciiTheme="minorHAnsi" w:hAnsiTheme="minorHAnsi" w:cstheme="minorHAnsi"/>
        </w:rPr>
      </w:pPr>
      <w:r w:rsidRPr="008C34F0">
        <w:rPr>
          <w:rFonts w:asciiTheme="minorHAnsi" w:hAnsiTheme="minorHAnsi" w:cstheme="minorHAnsi"/>
        </w:rPr>
        <w:t xml:space="preserve">Figure </w:t>
      </w:r>
      <w:r w:rsidR="003C081A">
        <w:rPr>
          <w:rFonts w:asciiTheme="minorHAnsi" w:hAnsiTheme="minorHAnsi" w:cstheme="minorHAnsi"/>
          <w:noProof/>
        </w:rPr>
        <w:t>2</w:t>
      </w:r>
      <w:r w:rsidRPr="008C34F0">
        <w:rPr>
          <w:rFonts w:asciiTheme="minorHAnsi" w:hAnsiTheme="minorHAnsi" w:cstheme="minorHAnsi"/>
        </w:rPr>
        <w:t>. Ground test station LN2 heat exchanger FLOCAD model geometry.</w:t>
      </w:r>
    </w:p>
    <w:p w14:paraId="3404A910" w14:textId="725B628C" w:rsidR="003C081A" w:rsidRDefault="003C081A" w:rsidP="003C081A">
      <w:pPr>
        <w:jc w:val="both"/>
      </w:pPr>
      <w:r>
        <w:t xml:space="preserve">A flow schematic in terms of resistors is shown in Figure 3 as a 1-d </w:t>
      </w:r>
      <w:r w:rsidR="002F36EC">
        <w:t>idealization</w:t>
      </w:r>
      <w:r>
        <w:t xml:space="preserve"> of the system being modeled herein.</w:t>
      </w:r>
      <w:r w:rsidR="002F36EC">
        <w:t xml:space="preserve"> Figure 3 shows the inlet flow of LN2 modeled as a plenum, the flow of the LN2 routed through the piping in various STUBES, and the exit flow of the LN2 modeled as a plenum.</w:t>
      </w:r>
    </w:p>
    <w:p w14:paraId="6543FA45" w14:textId="77777777" w:rsidR="003C081A" w:rsidRDefault="003C081A" w:rsidP="003C081A">
      <w:pPr>
        <w:pStyle w:val="FigureTitle"/>
        <w:rPr>
          <w:rFonts w:asciiTheme="minorHAnsi" w:hAnsiTheme="minorHAnsi" w:cstheme="minorHAnsi"/>
        </w:rPr>
      </w:pPr>
      <w:r w:rsidRPr="00E32598">
        <w:rPr>
          <w:noProof/>
        </w:rPr>
        <w:drawing>
          <wp:inline distT="0" distB="0" distL="0" distR="0" wp14:anchorId="32AE5854" wp14:editId="5BC30489">
            <wp:extent cx="4689124" cy="17563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1639" cy="1761052"/>
                    </a:xfrm>
                    <a:prstGeom prst="rect">
                      <a:avLst/>
                    </a:prstGeom>
                    <a:noFill/>
                    <a:ln>
                      <a:noFill/>
                    </a:ln>
                  </pic:spPr>
                </pic:pic>
              </a:graphicData>
            </a:graphic>
          </wp:inline>
        </w:drawing>
      </w:r>
    </w:p>
    <w:p w14:paraId="7BE52871" w14:textId="77777777" w:rsidR="003C081A" w:rsidRPr="008C34F0" w:rsidRDefault="003C081A" w:rsidP="003C081A">
      <w:pPr>
        <w:pStyle w:val="FigureTitle"/>
        <w:rPr>
          <w:rFonts w:asciiTheme="minorHAnsi" w:hAnsiTheme="minorHAnsi" w:cstheme="minorHAnsi"/>
        </w:rPr>
      </w:pPr>
    </w:p>
    <w:p w14:paraId="55D3FD88" w14:textId="1410F26E" w:rsidR="003C081A" w:rsidRPr="00ED241D" w:rsidRDefault="003C081A" w:rsidP="00ED241D">
      <w:pPr>
        <w:pStyle w:val="FigureTitle"/>
        <w:rPr>
          <w:rFonts w:asciiTheme="minorHAnsi" w:hAnsiTheme="minorHAnsi" w:cstheme="minorHAnsi"/>
        </w:rPr>
      </w:pPr>
      <w:r w:rsidRPr="008C34F0">
        <w:rPr>
          <w:rFonts w:asciiTheme="minorHAnsi" w:hAnsiTheme="minorHAnsi" w:cstheme="minorHAnsi"/>
        </w:rPr>
        <w:t xml:space="preserve">Figure </w:t>
      </w:r>
      <w:r>
        <w:rPr>
          <w:rFonts w:asciiTheme="minorHAnsi" w:hAnsiTheme="minorHAnsi" w:cstheme="minorHAnsi"/>
          <w:noProof/>
        </w:rPr>
        <w:t>3</w:t>
      </w:r>
      <w:r>
        <w:rPr>
          <w:rFonts w:asciiTheme="minorHAnsi" w:hAnsiTheme="minorHAnsi" w:cstheme="minorHAnsi"/>
        </w:rPr>
        <w:t>. FLOCAD model thermal network</w:t>
      </w:r>
      <w:r w:rsidRPr="008C34F0">
        <w:rPr>
          <w:rFonts w:asciiTheme="minorHAnsi" w:hAnsiTheme="minorHAnsi" w:cstheme="minorHAnsi"/>
        </w:rPr>
        <w:t>.</w:t>
      </w:r>
    </w:p>
    <w:p w14:paraId="70A84C28" w14:textId="4EEB3457" w:rsidR="00F30670" w:rsidRPr="00ED241D" w:rsidRDefault="002F36EC" w:rsidP="00F30670">
      <w:pPr>
        <w:jc w:val="both"/>
      </w:pPr>
      <w:r>
        <w:lastRenderedPageBreak/>
        <w:t>The implementation of the two-phase simulation is first set up by the in</w:t>
      </w:r>
      <w:r w:rsidR="00B34FCF">
        <w:t>i</w:t>
      </w:r>
      <w:r>
        <w:t xml:space="preserve">tial condition of the LN2 at the inlet plenum. The lump state initialization is detailed in [5] and is </w:t>
      </w:r>
      <w:r w:rsidR="00ED241D">
        <w:t xml:space="preserve">outline here for completeness. </w:t>
      </w:r>
      <w:r w:rsidRPr="00B34FCF">
        <w:t xml:space="preserve">The user </w:t>
      </w:r>
      <w:r w:rsidR="00ED241D" w:rsidRPr="00B34FCF">
        <w:t>specifies</w:t>
      </w:r>
      <w:r w:rsidRPr="00B34FCF">
        <w:t xml:space="preserve"> the inlet state of the working fluid using the thermodynamic variables pressure, P, temperature, T and quality, X.  </w:t>
      </w:r>
      <w:r w:rsidRPr="00B34FCF">
        <w:rPr>
          <w:rFonts w:asciiTheme="minorHAnsi" w:hAnsiTheme="minorHAnsi" w:cstheme="minorHAnsi"/>
        </w:rPr>
        <w:t>The desired state is specified in SINDA/FLUINT as shown in Table 3.</w:t>
      </w:r>
      <w:r w:rsidR="00A74398" w:rsidRPr="00B34FCF">
        <w:rPr>
          <w:rFonts w:asciiTheme="minorHAnsi" w:hAnsiTheme="minorHAnsi" w:cstheme="minorHAnsi"/>
        </w:rPr>
        <w:t xml:space="preserve"> The variable XL is used to set the quality, while the variables PL and TL correspond to the pressure and temperature of the lump being simulated. In Table 3, P</w:t>
      </w:r>
      <w:r w:rsidR="00A74398" w:rsidRPr="00B34FCF">
        <w:rPr>
          <w:rFonts w:asciiTheme="minorHAnsi" w:hAnsiTheme="minorHAnsi" w:cstheme="minorHAnsi"/>
          <w:vertAlign w:val="subscript"/>
        </w:rPr>
        <w:t>SAT</w:t>
      </w:r>
      <w:r w:rsidR="00A74398" w:rsidRPr="00B34FCF">
        <w:rPr>
          <w:rFonts w:asciiTheme="minorHAnsi" w:hAnsiTheme="minorHAnsi" w:cstheme="minorHAnsi"/>
        </w:rPr>
        <w:t>(TL) refers to the saturation pressure at the particular temperature TL of the working fluid. The the</w:t>
      </w:r>
      <w:r w:rsidR="00C57311" w:rsidRPr="00B34FCF">
        <w:rPr>
          <w:rFonts w:asciiTheme="minorHAnsi" w:hAnsiTheme="minorHAnsi" w:cstheme="minorHAnsi"/>
        </w:rPr>
        <w:t>r</w:t>
      </w:r>
      <w:r w:rsidR="00A74398" w:rsidRPr="00B34FCF">
        <w:rPr>
          <w:rFonts w:asciiTheme="minorHAnsi" w:hAnsiTheme="minorHAnsi" w:cstheme="minorHAnsi"/>
        </w:rPr>
        <w:t xml:space="preserve">modynamic data for the working fluid is specified by the database of the fluid include file uploaded by the user. </w:t>
      </w:r>
      <w:r w:rsidR="00C57311" w:rsidRPr="00B34FCF">
        <w:rPr>
          <w:rFonts w:asciiTheme="minorHAnsi" w:hAnsiTheme="minorHAnsi" w:cstheme="minorHAnsi"/>
        </w:rPr>
        <w:t xml:space="preserve"> The user fluid include file is </w:t>
      </w:r>
      <w:r w:rsidR="00F30670" w:rsidRPr="00B34FCF">
        <w:rPr>
          <w:rFonts w:asciiTheme="minorHAnsi" w:hAnsiTheme="minorHAnsi" w:cstheme="minorHAnsi"/>
        </w:rPr>
        <w:t xml:space="preserve">uploaded in Thermal Desktop  using </w:t>
      </w:r>
      <w:r w:rsidR="00ED241D">
        <w:rPr>
          <w:rFonts w:asciiTheme="minorHAnsi" w:hAnsiTheme="minorHAnsi" w:cstheme="minorHAnsi"/>
        </w:rPr>
        <w:t>THERMAL -&gt; FLUID MODELING -</w:t>
      </w:r>
      <w:r w:rsidR="00F30670" w:rsidRPr="00B34FCF">
        <w:rPr>
          <w:rFonts w:asciiTheme="minorHAnsi" w:hAnsiTheme="minorHAnsi" w:cstheme="minorHAnsi"/>
        </w:rPr>
        <w:t>&gt; FLUID SUBMODEL</w:t>
      </w:r>
      <w:r w:rsidR="00ED241D">
        <w:rPr>
          <w:rFonts w:asciiTheme="minorHAnsi" w:hAnsiTheme="minorHAnsi" w:cstheme="minorHAnsi"/>
        </w:rPr>
        <w:t xml:space="preserve"> MANAGER -&gt; FLOW-</w:t>
      </w:r>
      <w:r w:rsidR="00F30670" w:rsidRPr="00B34FCF">
        <w:rPr>
          <w:rFonts w:asciiTheme="minorHAnsi" w:hAnsiTheme="minorHAnsi" w:cstheme="minorHAnsi"/>
        </w:rPr>
        <w:t>&gt; PROPERTIES. Here the f6330cl_nitrogen.inc from [</w:t>
      </w:r>
      <w:r w:rsidR="00ED241D">
        <w:rPr>
          <w:rFonts w:asciiTheme="minorHAnsi" w:hAnsiTheme="minorHAnsi" w:cstheme="minorHAnsi"/>
        </w:rPr>
        <w:t>7</w:t>
      </w:r>
      <w:r w:rsidR="00F30670" w:rsidRPr="00B34FCF">
        <w:rPr>
          <w:rFonts w:asciiTheme="minorHAnsi" w:hAnsiTheme="minorHAnsi" w:cstheme="minorHAnsi"/>
        </w:rPr>
        <w:t>] was utilized.</w:t>
      </w:r>
    </w:p>
    <w:p w14:paraId="09C2672F" w14:textId="1C616EE9" w:rsidR="002F36EC" w:rsidRPr="00C57311" w:rsidRDefault="002F36EC" w:rsidP="00A74398">
      <w:pPr>
        <w:pStyle w:val="FigureTitle"/>
        <w:rPr>
          <w:rFonts w:asciiTheme="minorHAnsi" w:hAnsiTheme="minorHAnsi" w:cstheme="minorHAnsi"/>
        </w:rPr>
      </w:pPr>
      <w:r w:rsidRPr="00C57311">
        <w:rPr>
          <w:rFonts w:asciiTheme="minorHAnsi" w:hAnsiTheme="minorHAnsi" w:cstheme="minorHAnsi"/>
        </w:rPr>
        <w:t>TABLE 3 – SINDA/FLUINT Lump State I</w:t>
      </w:r>
      <w:r w:rsidR="00A74398" w:rsidRPr="00C57311">
        <w:rPr>
          <w:rFonts w:asciiTheme="minorHAnsi" w:hAnsiTheme="minorHAnsi" w:cstheme="minorHAnsi"/>
        </w:rPr>
        <w:t>nitialization</w:t>
      </w:r>
    </w:p>
    <w:tbl>
      <w:tblPr>
        <w:tblStyle w:val="TableGrid"/>
        <w:tblW w:w="0" w:type="auto"/>
        <w:tblLook w:val="04A0" w:firstRow="1" w:lastRow="0" w:firstColumn="1" w:lastColumn="0" w:noHBand="0" w:noVBand="1"/>
      </w:tblPr>
      <w:tblGrid>
        <w:gridCol w:w="3116"/>
        <w:gridCol w:w="3117"/>
        <w:gridCol w:w="3117"/>
      </w:tblGrid>
      <w:tr w:rsidR="00A74398" w14:paraId="4C71AF0A" w14:textId="77777777" w:rsidTr="00A74398">
        <w:tc>
          <w:tcPr>
            <w:tcW w:w="3116" w:type="dxa"/>
          </w:tcPr>
          <w:p w14:paraId="21A0C2C6" w14:textId="4417AF6A" w:rsidR="00A74398" w:rsidRDefault="00A74398" w:rsidP="008C34F0">
            <w:pPr>
              <w:pStyle w:val="FigureTitle"/>
              <w:rPr>
                <w:rFonts w:asciiTheme="minorHAnsi" w:hAnsiTheme="minorHAnsi" w:cstheme="minorHAnsi"/>
                <w:b w:val="0"/>
              </w:rPr>
            </w:pPr>
            <w:r>
              <w:rPr>
                <w:rFonts w:asciiTheme="minorHAnsi" w:hAnsiTheme="minorHAnsi" w:cstheme="minorHAnsi"/>
                <w:b w:val="0"/>
              </w:rPr>
              <w:t>DESIRED STATE</w:t>
            </w:r>
          </w:p>
        </w:tc>
        <w:tc>
          <w:tcPr>
            <w:tcW w:w="3117" w:type="dxa"/>
          </w:tcPr>
          <w:p w14:paraId="2F5CEA31" w14:textId="47159B2B" w:rsidR="00A74398" w:rsidRDefault="00A74398" w:rsidP="008C34F0">
            <w:pPr>
              <w:pStyle w:val="FigureTitle"/>
              <w:rPr>
                <w:rFonts w:asciiTheme="minorHAnsi" w:hAnsiTheme="minorHAnsi" w:cstheme="minorHAnsi"/>
                <w:b w:val="0"/>
              </w:rPr>
            </w:pPr>
            <w:r>
              <w:rPr>
                <w:rFonts w:asciiTheme="minorHAnsi" w:hAnsiTheme="minorHAnsi" w:cstheme="minorHAnsi"/>
                <w:b w:val="0"/>
              </w:rPr>
              <w:t xml:space="preserve">INPUT QUALITY </w:t>
            </w:r>
          </w:p>
        </w:tc>
        <w:tc>
          <w:tcPr>
            <w:tcW w:w="3117" w:type="dxa"/>
          </w:tcPr>
          <w:p w14:paraId="1A911F7D" w14:textId="547ABCDD" w:rsidR="00A74398" w:rsidRDefault="00A74398" w:rsidP="008C34F0">
            <w:pPr>
              <w:pStyle w:val="FigureTitle"/>
              <w:rPr>
                <w:rFonts w:asciiTheme="minorHAnsi" w:hAnsiTheme="minorHAnsi" w:cstheme="minorHAnsi"/>
                <w:b w:val="0"/>
              </w:rPr>
            </w:pPr>
            <w:r>
              <w:rPr>
                <w:rFonts w:asciiTheme="minorHAnsi" w:hAnsiTheme="minorHAnsi" w:cstheme="minorHAnsi"/>
                <w:b w:val="0"/>
              </w:rPr>
              <w:t>INPUT PRESSURE</w:t>
            </w:r>
          </w:p>
        </w:tc>
      </w:tr>
      <w:tr w:rsidR="00A74398" w14:paraId="41B8E600" w14:textId="77777777" w:rsidTr="00A74398">
        <w:tc>
          <w:tcPr>
            <w:tcW w:w="3116" w:type="dxa"/>
          </w:tcPr>
          <w:p w14:paraId="4054E80D" w14:textId="3121BFE9" w:rsidR="00A74398" w:rsidRDefault="00A74398" w:rsidP="008C34F0">
            <w:pPr>
              <w:pStyle w:val="FigureTitle"/>
              <w:rPr>
                <w:rFonts w:asciiTheme="minorHAnsi" w:hAnsiTheme="minorHAnsi" w:cstheme="minorHAnsi"/>
                <w:b w:val="0"/>
              </w:rPr>
            </w:pPr>
            <w:r>
              <w:rPr>
                <w:rFonts w:asciiTheme="minorHAnsi" w:hAnsiTheme="minorHAnsi" w:cstheme="minorHAnsi"/>
                <w:b w:val="0"/>
              </w:rPr>
              <w:t>SUB-COOLED LIQUID</w:t>
            </w:r>
          </w:p>
        </w:tc>
        <w:tc>
          <w:tcPr>
            <w:tcW w:w="3117" w:type="dxa"/>
          </w:tcPr>
          <w:p w14:paraId="14571743" w14:textId="69E50B51" w:rsidR="00A74398" w:rsidRDefault="00A74398" w:rsidP="00A74398">
            <w:pPr>
              <w:pStyle w:val="FigureTitle"/>
              <w:rPr>
                <w:rFonts w:asciiTheme="minorHAnsi" w:hAnsiTheme="minorHAnsi" w:cstheme="minorHAnsi"/>
                <w:b w:val="0"/>
              </w:rPr>
            </w:pPr>
            <w:r>
              <w:rPr>
                <w:rFonts w:asciiTheme="minorHAnsi" w:hAnsiTheme="minorHAnsi" w:cstheme="minorHAnsi"/>
                <w:b w:val="0"/>
              </w:rPr>
              <w:t>XL  = 0.0</w:t>
            </w:r>
          </w:p>
        </w:tc>
        <w:tc>
          <w:tcPr>
            <w:tcW w:w="3117" w:type="dxa"/>
          </w:tcPr>
          <w:p w14:paraId="6C242554" w14:textId="0DD87DCB" w:rsidR="00A74398" w:rsidRDefault="00A74398" w:rsidP="008C34F0">
            <w:pPr>
              <w:pStyle w:val="FigureTitle"/>
              <w:rPr>
                <w:rFonts w:asciiTheme="minorHAnsi" w:hAnsiTheme="minorHAnsi" w:cstheme="minorHAnsi"/>
                <w:b w:val="0"/>
              </w:rPr>
            </w:pPr>
            <w:r>
              <w:rPr>
                <w:rFonts w:asciiTheme="minorHAnsi" w:hAnsiTheme="minorHAnsi" w:cstheme="minorHAnsi"/>
                <w:b w:val="0"/>
              </w:rPr>
              <w:t>PL &gt; P</w:t>
            </w:r>
            <w:r w:rsidRPr="00A74398">
              <w:rPr>
                <w:rFonts w:asciiTheme="minorHAnsi" w:hAnsiTheme="minorHAnsi" w:cstheme="minorHAnsi"/>
                <w:b w:val="0"/>
                <w:vertAlign w:val="subscript"/>
              </w:rPr>
              <w:t>SAT</w:t>
            </w:r>
            <w:r>
              <w:rPr>
                <w:rFonts w:asciiTheme="minorHAnsi" w:hAnsiTheme="minorHAnsi" w:cstheme="minorHAnsi"/>
                <w:b w:val="0"/>
              </w:rPr>
              <w:t>(TL)</w:t>
            </w:r>
          </w:p>
        </w:tc>
      </w:tr>
      <w:tr w:rsidR="00A74398" w14:paraId="2A106013" w14:textId="77777777" w:rsidTr="00A74398">
        <w:tc>
          <w:tcPr>
            <w:tcW w:w="3116" w:type="dxa"/>
          </w:tcPr>
          <w:p w14:paraId="6D5C69C9" w14:textId="28B75C89" w:rsidR="00A74398" w:rsidRDefault="00A74398" w:rsidP="008C34F0">
            <w:pPr>
              <w:pStyle w:val="FigureTitle"/>
              <w:rPr>
                <w:rFonts w:asciiTheme="minorHAnsi" w:hAnsiTheme="minorHAnsi" w:cstheme="minorHAnsi"/>
                <w:b w:val="0"/>
              </w:rPr>
            </w:pPr>
            <w:r>
              <w:rPr>
                <w:rFonts w:asciiTheme="minorHAnsi" w:hAnsiTheme="minorHAnsi" w:cstheme="minorHAnsi"/>
                <w:b w:val="0"/>
              </w:rPr>
              <w:t>SATURATE LIQUID</w:t>
            </w:r>
          </w:p>
        </w:tc>
        <w:tc>
          <w:tcPr>
            <w:tcW w:w="3117" w:type="dxa"/>
          </w:tcPr>
          <w:p w14:paraId="0D53316B" w14:textId="72227270" w:rsidR="00A74398" w:rsidRDefault="00A74398" w:rsidP="00A74398">
            <w:pPr>
              <w:pStyle w:val="FigureTitle"/>
              <w:rPr>
                <w:rFonts w:asciiTheme="minorHAnsi" w:hAnsiTheme="minorHAnsi" w:cstheme="minorHAnsi"/>
                <w:b w:val="0"/>
              </w:rPr>
            </w:pPr>
            <w:r>
              <w:rPr>
                <w:rFonts w:asciiTheme="minorHAnsi" w:hAnsiTheme="minorHAnsi" w:cstheme="minorHAnsi"/>
                <w:b w:val="0"/>
              </w:rPr>
              <w:t>XL  =0.0</w:t>
            </w:r>
          </w:p>
        </w:tc>
        <w:tc>
          <w:tcPr>
            <w:tcW w:w="3117" w:type="dxa"/>
          </w:tcPr>
          <w:p w14:paraId="4B9B90D7" w14:textId="1111980A" w:rsidR="00A74398" w:rsidRDefault="00A74398" w:rsidP="008C34F0">
            <w:pPr>
              <w:pStyle w:val="FigureTitle"/>
              <w:rPr>
                <w:rFonts w:asciiTheme="minorHAnsi" w:hAnsiTheme="minorHAnsi" w:cstheme="minorHAnsi"/>
                <w:b w:val="0"/>
              </w:rPr>
            </w:pPr>
            <w:r>
              <w:rPr>
                <w:rFonts w:asciiTheme="minorHAnsi" w:hAnsiTheme="minorHAnsi" w:cstheme="minorHAnsi"/>
                <w:b w:val="0"/>
              </w:rPr>
              <w:t xml:space="preserve">PL </w:t>
            </w:r>
            <w:r>
              <w:rPr>
                <w:rFonts w:asciiTheme="minorHAnsi" w:hAnsiTheme="minorHAnsi" w:cstheme="minorHAnsi"/>
                <w:b w:val="0"/>
              </w:rPr>
              <w:sym w:font="Symbol" w:char="F0A3"/>
            </w:r>
            <w:r>
              <w:rPr>
                <w:rFonts w:asciiTheme="minorHAnsi" w:hAnsiTheme="minorHAnsi" w:cstheme="minorHAnsi"/>
                <w:b w:val="0"/>
              </w:rPr>
              <w:t>P</w:t>
            </w:r>
            <w:r w:rsidRPr="00A74398">
              <w:rPr>
                <w:rFonts w:asciiTheme="minorHAnsi" w:hAnsiTheme="minorHAnsi" w:cstheme="minorHAnsi"/>
                <w:b w:val="0"/>
                <w:vertAlign w:val="subscript"/>
              </w:rPr>
              <w:t>SAT</w:t>
            </w:r>
            <w:r>
              <w:rPr>
                <w:rFonts w:asciiTheme="minorHAnsi" w:hAnsiTheme="minorHAnsi" w:cstheme="minorHAnsi"/>
                <w:b w:val="0"/>
              </w:rPr>
              <w:t>(TL)</w:t>
            </w:r>
          </w:p>
        </w:tc>
      </w:tr>
      <w:tr w:rsidR="00A74398" w14:paraId="50A79B1E" w14:textId="77777777" w:rsidTr="00A74398">
        <w:tc>
          <w:tcPr>
            <w:tcW w:w="3116" w:type="dxa"/>
          </w:tcPr>
          <w:p w14:paraId="514275D1" w14:textId="0CE2EB87" w:rsidR="00A74398" w:rsidRDefault="00A74398" w:rsidP="008C34F0">
            <w:pPr>
              <w:pStyle w:val="FigureTitle"/>
              <w:rPr>
                <w:rFonts w:asciiTheme="minorHAnsi" w:hAnsiTheme="minorHAnsi" w:cstheme="minorHAnsi"/>
                <w:b w:val="0"/>
              </w:rPr>
            </w:pPr>
            <w:r>
              <w:rPr>
                <w:rFonts w:asciiTheme="minorHAnsi" w:hAnsiTheme="minorHAnsi" w:cstheme="minorHAnsi"/>
                <w:b w:val="0"/>
              </w:rPr>
              <w:t>TWO-PHASE</w:t>
            </w:r>
          </w:p>
        </w:tc>
        <w:tc>
          <w:tcPr>
            <w:tcW w:w="3117" w:type="dxa"/>
          </w:tcPr>
          <w:p w14:paraId="7DAEC69D" w14:textId="1D3FC32E" w:rsidR="00A74398" w:rsidRDefault="00A74398" w:rsidP="00A74398">
            <w:pPr>
              <w:pStyle w:val="FigureTitle"/>
              <w:rPr>
                <w:rFonts w:asciiTheme="minorHAnsi" w:hAnsiTheme="minorHAnsi" w:cstheme="minorHAnsi"/>
                <w:b w:val="0"/>
              </w:rPr>
            </w:pPr>
            <w:r>
              <w:rPr>
                <w:rFonts w:asciiTheme="minorHAnsi" w:hAnsiTheme="minorHAnsi" w:cstheme="minorHAnsi"/>
                <w:b w:val="0"/>
              </w:rPr>
              <w:t>0.0 &gt; XL &gt; 1.0</w:t>
            </w:r>
          </w:p>
        </w:tc>
        <w:tc>
          <w:tcPr>
            <w:tcW w:w="3117" w:type="dxa"/>
          </w:tcPr>
          <w:p w14:paraId="35066042" w14:textId="7ABE64A9" w:rsidR="00A74398" w:rsidRDefault="00A74398" w:rsidP="008C34F0">
            <w:pPr>
              <w:pStyle w:val="FigureTitle"/>
              <w:rPr>
                <w:rFonts w:asciiTheme="minorHAnsi" w:hAnsiTheme="minorHAnsi" w:cstheme="minorHAnsi"/>
                <w:b w:val="0"/>
              </w:rPr>
            </w:pPr>
            <w:r>
              <w:rPr>
                <w:rFonts w:asciiTheme="minorHAnsi" w:hAnsiTheme="minorHAnsi" w:cstheme="minorHAnsi"/>
                <w:b w:val="0"/>
              </w:rPr>
              <w:t>P</w:t>
            </w:r>
            <w:r w:rsidRPr="00A74398">
              <w:rPr>
                <w:rFonts w:asciiTheme="minorHAnsi" w:hAnsiTheme="minorHAnsi" w:cstheme="minorHAnsi"/>
                <w:b w:val="0"/>
                <w:vertAlign w:val="subscript"/>
              </w:rPr>
              <w:t>SAT</w:t>
            </w:r>
            <w:r>
              <w:rPr>
                <w:rFonts w:asciiTheme="minorHAnsi" w:hAnsiTheme="minorHAnsi" w:cstheme="minorHAnsi"/>
                <w:b w:val="0"/>
              </w:rPr>
              <w:t>(TL)</w:t>
            </w:r>
          </w:p>
        </w:tc>
      </w:tr>
      <w:tr w:rsidR="00A74398" w14:paraId="35ACF40B" w14:textId="77777777" w:rsidTr="00A74398">
        <w:tc>
          <w:tcPr>
            <w:tcW w:w="3116" w:type="dxa"/>
          </w:tcPr>
          <w:p w14:paraId="48F6B141" w14:textId="3F7C4D2A" w:rsidR="00A74398" w:rsidRDefault="00A74398" w:rsidP="008C34F0">
            <w:pPr>
              <w:pStyle w:val="FigureTitle"/>
              <w:rPr>
                <w:rFonts w:asciiTheme="minorHAnsi" w:hAnsiTheme="minorHAnsi" w:cstheme="minorHAnsi"/>
                <w:b w:val="0"/>
              </w:rPr>
            </w:pPr>
            <w:r>
              <w:rPr>
                <w:rFonts w:asciiTheme="minorHAnsi" w:hAnsiTheme="minorHAnsi" w:cstheme="minorHAnsi"/>
                <w:b w:val="0"/>
              </w:rPr>
              <w:t>SATURATED VAPOR</w:t>
            </w:r>
          </w:p>
        </w:tc>
        <w:tc>
          <w:tcPr>
            <w:tcW w:w="3117" w:type="dxa"/>
          </w:tcPr>
          <w:p w14:paraId="3AFADEE9" w14:textId="1AB39AF1" w:rsidR="00A74398" w:rsidRDefault="00A74398" w:rsidP="00A74398">
            <w:pPr>
              <w:pStyle w:val="FigureTitle"/>
              <w:rPr>
                <w:rFonts w:asciiTheme="minorHAnsi" w:hAnsiTheme="minorHAnsi" w:cstheme="minorHAnsi"/>
                <w:b w:val="0"/>
              </w:rPr>
            </w:pPr>
            <w:r>
              <w:rPr>
                <w:rFonts w:asciiTheme="minorHAnsi" w:hAnsiTheme="minorHAnsi" w:cstheme="minorHAnsi"/>
                <w:b w:val="0"/>
              </w:rPr>
              <w:t>XL = 1.0</w:t>
            </w:r>
          </w:p>
        </w:tc>
        <w:tc>
          <w:tcPr>
            <w:tcW w:w="3117" w:type="dxa"/>
          </w:tcPr>
          <w:p w14:paraId="45465162" w14:textId="763AA956" w:rsidR="00A74398" w:rsidRDefault="00A74398" w:rsidP="008C34F0">
            <w:pPr>
              <w:pStyle w:val="FigureTitle"/>
              <w:rPr>
                <w:rFonts w:asciiTheme="minorHAnsi" w:hAnsiTheme="minorHAnsi" w:cstheme="minorHAnsi"/>
                <w:b w:val="0"/>
              </w:rPr>
            </w:pPr>
            <w:r>
              <w:rPr>
                <w:rFonts w:asciiTheme="minorHAnsi" w:hAnsiTheme="minorHAnsi" w:cstheme="minorHAnsi"/>
                <w:b w:val="0"/>
              </w:rPr>
              <w:t xml:space="preserve">PL </w:t>
            </w:r>
            <w:r>
              <w:rPr>
                <w:rFonts w:asciiTheme="minorHAnsi" w:hAnsiTheme="minorHAnsi" w:cstheme="minorHAnsi"/>
                <w:b w:val="0"/>
              </w:rPr>
              <w:sym w:font="Symbol" w:char="F0B3"/>
            </w:r>
            <w:r>
              <w:rPr>
                <w:rFonts w:asciiTheme="minorHAnsi" w:hAnsiTheme="minorHAnsi" w:cstheme="minorHAnsi"/>
                <w:b w:val="0"/>
              </w:rPr>
              <w:t>P</w:t>
            </w:r>
            <w:r w:rsidRPr="00A74398">
              <w:rPr>
                <w:rFonts w:asciiTheme="minorHAnsi" w:hAnsiTheme="minorHAnsi" w:cstheme="minorHAnsi"/>
                <w:b w:val="0"/>
                <w:vertAlign w:val="subscript"/>
              </w:rPr>
              <w:t>SAT</w:t>
            </w:r>
            <w:r>
              <w:rPr>
                <w:rFonts w:asciiTheme="minorHAnsi" w:hAnsiTheme="minorHAnsi" w:cstheme="minorHAnsi"/>
                <w:b w:val="0"/>
              </w:rPr>
              <w:t>(TL)</w:t>
            </w:r>
          </w:p>
        </w:tc>
      </w:tr>
      <w:tr w:rsidR="00A74398" w14:paraId="54360C25" w14:textId="77777777" w:rsidTr="00A74398">
        <w:tc>
          <w:tcPr>
            <w:tcW w:w="3116" w:type="dxa"/>
          </w:tcPr>
          <w:p w14:paraId="471B22DC" w14:textId="57B38996" w:rsidR="00A74398" w:rsidRDefault="00A74398" w:rsidP="008C34F0">
            <w:pPr>
              <w:pStyle w:val="FigureTitle"/>
              <w:rPr>
                <w:rFonts w:asciiTheme="minorHAnsi" w:hAnsiTheme="minorHAnsi" w:cstheme="minorHAnsi"/>
                <w:b w:val="0"/>
              </w:rPr>
            </w:pPr>
            <w:r>
              <w:rPr>
                <w:rFonts w:asciiTheme="minorHAnsi" w:hAnsiTheme="minorHAnsi" w:cstheme="minorHAnsi"/>
                <w:b w:val="0"/>
              </w:rPr>
              <w:t>SUPERHEATED VAPOR</w:t>
            </w:r>
          </w:p>
        </w:tc>
        <w:tc>
          <w:tcPr>
            <w:tcW w:w="3117" w:type="dxa"/>
          </w:tcPr>
          <w:p w14:paraId="77153C18" w14:textId="2E2FECA1" w:rsidR="00A74398" w:rsidRDefault="00A74398" w:rsidP="00A74398">
            <w:pPr>
              <w:pStyle w:val="FigureTitle"/>
              <w:rPr>
                <w:rFonts w:asciiTheme="minorHAnsi" w:hAnsiTheme="minorHAnsi" w:cstheme="minorHAnsi"/>
                <w:b w:val="0"/>
              </w:rPr>
            </w:pPr>
            <w:r>
              <w:rPr>
                <w:rFonts w:asciiTheme="minorHAnsi" w:hAnsiTheme="minorHAnsi" w:cstheme="minorHAnsi"/>
                <w:b w:val="0"/>
              </w:rPr>
              <w:t>XL = 1.0</w:t>
            </w:r>
          </w:p>
        </w:tc>
        <w:tc>
          <w:tcPr>
            <w:tcW w:w="3117" w:type="dxa"/>
          </w:tcPr>
          <w:p w14:paraId="04AF4D53" w14:textId="3DD9406D" w:rsidR="00A74398" w:rsidRDefault="00A74398" w:rsidP="008C34F0">
            <w:pPr>
              <w:pStyle w:val="FigureTitle"/>
              <w:rPr>
                <w:rFonts w:asciiTheme="minorHAnsi" w:hAnsiTheme="minorHAnsi" w:cstheme="minorHAnsi"/>
                <w:b w:val="0"/>
              </w:rPr>
            </w:pPr>
            <w:r>
              <w:rPr>
                <w:rFonts w:asciiTheme="minorHAnsi" w:hAnsiTheme="minorHAnsi" w:cstheme="minorHAnsi"/>
                <w:b w:val="0"/>
              </w:rPr>
              <w:t>PL&lt; P</w:t>
            </w:r>
            <w:r w:rsidRPr="00A74398">
              <w:rPr>
                <w:rFonts w:asciiTheme="minorHAnsi" w:hAnsiTheme="minorHAnsi" w:cstheme="minorHAnsi"/>
                <w:b w:val="0"/>
                <w:vertAlign w:val="subscript"/>
              </w:rPr>
              <w:t>SAT</w:t>
            </w:r>
            <w:r>
              <w:rPr>
                <w:rFonts w:asciiTheme="minorHAnsi" w:hAnsiTheme="minorHAnsi" w:cstheme="minorHAnsi"/>
                <w:b w:val="0"/>
              </w:rPr>
              <w:t>(TL)</w:t>
            </w:r>
          </w:p>
        </w:tc>
      </w:tr>
    </w:tbl>
    <w:p w14:paraId="57036FBA" w14:textId="6D721D1C" w:rsidR="002F36EC" w:rsidRDefault="002F36EC" w:rsidP="008C34F0">
      <w:pPr>
        <w:pStyle w:val="FigureTitle"/>
        <w:rPr>
          <w:rFonts w:asciiTheme="minorHAnsi" w:hAnsiTheme="minorHAnsi" w:cstheme="minorHAnsi"/>
          <w:b w:val="0"/>
        </w:rPr>
      </w:pPr>
    </w:p>
    <w:p w14:paraId="5F62CE07" w14:textId="0C8D4B94" w:rsidR="00F30670" w:rsidRDefault="00BF0740" w:rsidP="00C45BA8">
      <w:pPr>
        <w:pStyle w:val="FigureTitle"/>
        <w:jc w:val="both"/>
        <w:rPr>
          <w:rFonts w:asciiTheme="minorHAnsi" w:hAnsiTheme="minorHAnsi" w:cstheme="minorHAnsi"/>
          <w:b w:val="0"/>
        </w:rPr>
      </w:pPr>
      <w:r>
        <w:rPr>
          <w:rFonts w:asciiTheme="minorHAnsi" w:hAnsiTheme="minorHAnsi" w:cstheme="minorHAnsi"/>
          <w:b w:val="0"/>
        </w:rPr>
        <w:t>Herein for the LN2 T = 80 K inlet plenum, XL =0, TL = 80K and PL = 1 Pa are used to initialize the lump, which is taken as a pressure boundary</w:t>
      </w:r>
      <w:r w:rsidR="00C57311">
        <w:rPr>
          <w:rFonts w:asciiTheme="minorHAnsi" w:hAnsiTheme="minorHAnsi" w:cstheme="minorHAnsi"/>
          <w:b w:val="0"/>
        </w:rPr>
        <w:t>.</w:t>
      </w:r>
      <w:r>
        <w:rPr>
          <w:rFonts w:asciiTheme="minorHAnsi" w:hAnsiTheme="minorHAnsi" w:cstheme="minorHAnsi"/>
          <w:b w:val="0"/>
        </w:rPr>
        <w:t xml:space="preserve"> </w:t>
      </w:r>
      <w:r w:rsidR="00C45BA8">
        <w:rPr>
          <w:rFonts w:asciiTheme="minorHAnsi" w:hAnsiTheme="minorHAnsi" w:cstheme="minorHAnsi"/>
          <w:b w:val="0"/>
        </w:rPr>
        <w:t xml:space="preserve"> </w:t>
      </w:r>
      <w:r w:rsidR="00E16FA6">
        <w:rPr>
          <w:rFonts w:asciiTheme="minorHAnsi" w:hAnsiTheme="minorHAnsi" w:cstheme="minorHAnsi"/>
          <w:b w:val="0"/>
        </w:rPr>
        <w:t xml:space="preserve"> For the inlet flow of LN2 @ T = 80 K, corresponds to a saturation pressure of P</w:t>
      </w:r>
      <w:r w:rsidR="00E16FA6" w:rsidRPr="002A66CF">
        <w:rPr>
          <w:rFonts w:asciiTheme="minorHAnsi" w:hAnsiTheme="minorHAnsi" w:cstheme="minorHAnsi"/>
          <w:b w:val="0"/>
          <w:vertAlign w:val="subscript"/>
        </w:rPr>
        <w:t>sat</w:t>
      </w:r>
      <w:r w:rsidR="00E16FA6">
        <w:rPr>
          <w:rFonts w:asciiTheme="minorHAnsi" w:hAnsiTheme="minorHAnsi" w:cstheme="minorHAnsi"/>
          <w:b w:val="0"/>
        </w:rPr>
        <w:t xml:space="preserve"> = 0.13687 MPa [8]. At the supply plenum, XL =0, </w:t>
      </w:r>
      <w:r w:rsidR="00E16FA6" w:rsidRPr="00E16FA6">
        <w:rPr>
          <w:rFonts w:asciiTheme="minorHAnsi" w:hAnsiTheme="minorHAnsi" w:cstheme="minorHAnsi"/>
          <w:b w:val="0"/>
        </w:rPr>
        <w:t xml:space="preserve">PL </w:t>
      </w:r>
      <w:r w:rsidR="00E16FA6">
        <w:rPr>
          <w:rFonts w:asciiTheme="minorHAnsi" w:hAnsiTheme="minorHAnsi" w:cstheme="minorHAnsi"/>
          <w:b w:val="0"/>
        </w:rPr>
        <w:sym w:font="Symbol" w:char="F0A3"/>
      </w:r>
      <w:r w:rsidR="00E16FA6">
        <w:rPr>
          <w:rFonts w:asciiTheme="minorHAnsi" w:hAnsiTheme="minorHAnsi" w:cstheme="minorHAnsi"/>
          <w:b w:val="0"/>
        </w:rPr>
        <w:t xml:space="preserve"> 0.13687 MPa, hence per Table 3 we set PL = 1. </w:t>
      </w:r>
      <w:r w:rsidR="00C45BA8">
        <w:rPr>
          <w:rFonts w:asciiTheme="minorHAnsi" w:hAnsiTheme="minorHAnsi" w:cstheme="minorHAnsi"/>
          <w:b w:val="0"/>
        </w:rPr>
        <w:t>The return (exit) plenum was modeled using XL = 0, TL = 80 K, PL = 1 Pa as a pressure boundary. The STUBE</w:t>
      </w:r>
      <w:r w:rsidR="006A4826">
        <w:rPr>
          <w:rFonts w:asciiTheme="minorHAnsi" w:hAnsiTheme="minorHAnsi" w:cstheme="minorHAnsi"/>
          <w:b w:val="0"/>
        </w:rPr>
        <w:t>s</w:t>
      </w:r>
      <w:r w:rsidR="00C45BA8">
        <w:rPr>
          <w:rFonts w:asciiTheme="minorHAnsi" w:hAnsiTheme="minorHAnsi" w:cstheme="minorHAnsi"/>
          <w:b w:val="0"/>
        </w:rPr>
        <w:t xml:space="preserve"> have a flow rate of 0.1 kg/sec</w:t>
      </w:r>
      <w:r w:rsidR="006A4826">
        <w:rPr>
          <w:rFonts w:asciiTheme="minorHAnsi" w:hAnsiTheme="minorHAnsi" w:cstheme="minorHAnsi"/>
          <w:b w:val="0"/>
        </w:rPr>
        <w:t>,</w:t>
      </w:r>
      <w:r w:rsidR="00C45BA8">
        <w:rPr>
          <w:rFonts w:asciiTheme="minorHAnsi" w:hAnsiTheme="minorHAnsi" w:cstheme="minorHAnsi"/>
          <w:b w:val="0"/>
        </w:rPr>
        <w:t xml:space="preserve"> which was taken from information regarding the ground test heat exchanger flow rate capabilities. A contactor is used to attach the tubes to the heat exchanger panel using a nominal heat trans</w:t>
      </w:r>
      <w:r w:rsidR="004F62B0">
        <w:rPr>
          <w:rFonts w:asciiTheme="minorHAnsi" w:hAnsiTheme="minorHAnsi" w:cstheme="minorHAnsi"/>
          <w:b w:val="0"/>
        </w:rPr>
        <w:t>fer coefficient of h = 2500 W/m</w:t>
      </w:r>
      <w:r w:rsidR="00C45BA8" w:rsidRPr="004F62B0">
        <w:rPr>
          <w:rFonts w:asciiTheme="minorHAnsi" w:hAnsiTheme="minorHAnsi" w:cstheme="minorHAnsi"/>
          <w:b w:val="0"/>
          <w:vertAlign w:val="superscript"/>
        </w:rPr>
        <w:t>2</w:t>
      </w:r>
      <w:r w:rsidR="00C45BA8">
        <w:rPr>
          <w:rFonts w:asciiTheme="minorHAnsi" w:hAnsiTheme="minorHAnsi" w:cstheme="minorHAnsi"/>
          <w:b w:val="0"/>
        </w:rPr>
        <w:t>-K for the contact interface</w:t>
      </w:r>
      <w:r w:rsidR="004F62B0">
        <w:rPr>
          <w:rFonts w:asciiTheme="minorHAnsi" w:hAnsiTheme="minorHAnsi" w:cstheme="minorHAnsi"/>
          <w:b w:val="0"/>
        </w:rPr>
        <w:t xml:space="preserve"> and the TIE for the heat exchanger to the STUBES</w:t>
      </w:r>
      <w:r w:rsidR="00C45BA8">
        <w:rPr>
          <w:rFonts w:asciiTheme="minorHAnsi" w:hAnsiTheme="minorHAnsi" w:cstheme="minorHAnsi"/>
          <w:b w:val="0"/>
        </w:rPr>
        <w:t xml:space="preserve">. </w:t>
      </w:r>
    </w:p>
    <w:p w14:paraId="3DB1B7AF" w14:textId="3B5D7BF8" w:rsidR="00F30670" w:rsidRDefault="00F30670" w:rsidP="00C45BA8">
      <w:pPr>
        <w:pStyle w:val="FigureTitle"/>
        <w:jc w:val="both"/>
        <w:rPr>
          <w:rFonts w:asciiTheme="minorHAnsi" w:hAnsiTheme="minorHAnsi" w:cstheme="minorHAnsi"/>
        </w:rPr>
      </w:pPr>
      <w:r>
        <w:rPr>
          <w:rFonts w:asciiTheme="minorHAnsi" w:hAnsiTheme="minorHAnsi" w:cstheme="minorHAnsi"/>
        </w:rPr>
        <w:t>RESULTS</w:t>
      </w:r>
    </w:p>
    <w:p w14:paraId="4CB5BDEC" w14:textId="70DE9C7F" w:rsidR="00671161" w:rsidRPr="00F30670" w:rsidRDefault="00F30670" w:rsidP="00C45BA8">
      <w:pPr>
        <w:pStyle w:val="FigureTitle"/>
        <w:jc w:val="both"/>
        <w:rPr>
          <w:rFonts w:asciiTheme="minorHAnsi" w:hAnsiTheme="minorHAnsi" w:cstheme="minorHAnsi"/>
          <w:b w:val="0"/>
        </w:rPr>
      </w:pPr>
      <w:r>
        <w:rPr>
          <w:rFonts w:asciiTheme="minorHAnsi" w:hAnsiTheme="minorHAnsi" w:cstheme="minorHAnsi"/>
          <w:b w:val="0"/>
        </w:rPr>
        <w:t>In order to simulate the effect of using the LN2 ground test heat exchanger, a load which simulated that of the device under test wa</w:t>
      </w:r>
      <w:r w:rsidR="003E13BE">
        <w:rPr>
          <w:rFonts w:asciiTheme="minorHAnsi" w:hAnsiTheme="minorHAnsi" w:cstheme="minorHAnsi"/>
          <w:b w:val="0"/>
        </w:rPr>
        <w:t>s applied to the heat excha</w:t>
      </w:r>
      <w:r>
        <w:rPr>
          <w:rFonts w:asciiTheme="minorHAnsi" w:hAnsiTheme="minorHAnsi" w:cstheme="minorHAnsi"/>
          <w:b w:val="0"/>
        </w:rPr>
        <w:t>nger in a prescribed fashion, i.e. ramp up rate due to proximity heating of the LN2 ground test heat exchanger via radiative he</w:t>
      </w:r>
      <w:r w:rsidR="003E13BE">
        <w:rPr>
          <w:rFonts w:asciiTheme="minorHAnsi" w:hAnsiTheme="minorHAnsi" w:cstheme="minorHAnsi"/>
          <w:b w:val="0"/>
        </w:rPr>
        <w:t>ating from the device under test, thus giving an external heat rate to the ground test heat exchanger</w:t>
      </w:r>
      <w:r>
        <w:rPr>
          <w:rFonts w:asciiTheme="minorHAnsi" w:hAnsiTheme="minorHAnsi" w:cstheme="minorHAnsi"/>
          <w:b w:val="0"/>
        </w:rPr>
        <w:t xml:space="preserve">. </w:t>
      </w:r>
      <w:r w:rsidR="00B34FCF">
        <w:rPr>
          <w:rFonts w:asciiTheme="minorHAnsi" w:hAnsiTheme="minorHAnsi" w:cstheme="minorHAnsi"/>
          <w:b w:val="0"/>
        </w:rPr>
        <w:t xml:space="preserve"> Figure 4 shows the ground test heat exchanger FLOCAD model with </w:t>
      </w:r>
      <w:r w:rsidR="003E13BE">
        <w:rPr>
          <w:rFonts w:asciiTheme="minorHAnsi" w:hAnsiTheme="minorHAnsi" w:cstheme="minorHAnsi"/>
          <w:b w:val="0"/>
        </w:rPr>
        <w:t>specified</w:t>
      </w:r>
      <w:r w:rsidR="00B34FCF">
        <w:rPr>
          <w:rFonts w:asciiTheme="minorHAnsi" w:hAnsiTheme="minorHAnsi" w:cstheme="minorHAnsi"/>
          <w:b w:val="0"/>
        </w:rPr>
        <w:t xml:space="preserve"> STUBE locations used to probe the flow at various locations downstream of the inlet plenum. The STUBE.123 is located closest to the </w:t>
      </w:r>
      <w:r w:rsidR="003E13BE">
        <w:rPr>
          <w:rFonts w:asciiTheme="minorHAnsi" w:hAnsiTheme="minorHAnsi" w:cstheme="minorHAnsi"/>
          <w:b w:val="0"/>
        </w:rPr>
        <w:t xml:space="preserve">LN2 inlet. The left hand panel of Figure 4 shows the various STUBE locations, while the right hand side of Figure 4 shows the MREG SINDA/FLUINT FLOW </w:t>
      </w:r>
      <w:r w:rsidR="003E13BE">
        <w:rPr>
          <w:rFonts w:asciiTheme="minorHAnsi" w:hAnsiTheme="minorHAnsi" w:cstheme="minorHAnsi"/>
          <w:b w:val="0"/>
        </w:rPr>
        <w:lastRenderedPageBreak/>
        <w:t xml:space="preserve">REIGME variable reading for the STUBE as a function of time during the heating rate simulation. </w:t>
      </w:r>
      <w:r w:rsidR="00671161">
        <w:rPr>
          <w:rFonts w:asciiTheme="minorHAnsi" w:hAnsiTheme="minorHAnsi" w:cstheme="minorHAnsi"/>
          <w:b w:val="0"/>
        </w:rPr>
        <w:t>The flow regime of the various locations (STUBE 120, 197, 198, 300) in the heat flow show that the flow regime is developing and changing during the transient simulation.</w:t>
      </w:r>
    </w:p>
    <w:p w14:paraId="60AEF14D" w14:textId="42B83975" w:rsidR="008B1925" w:rsidRDefault="00E73AD4" w:rsidP="008B1925">
      <w:pPr>
        <w:pStyle w:val="FigureTitle"/>
        <w:rPr>
          <w:rFonts w:asciiTheme="minorHAnsi" w:hAnsiTheme="minorHAnsi" w:cstheme="minorHAnsi"/>
        </w:rPr>
      </w:pPr>
      <w:r w:rsidRPr="00E73AD4">
        <w:rPr>
          <w:noProof/>
        </w:rPr>
        <w:drawing>
          <wp:inline distT="0" distB="0" distL="0" distR="0" wp14:anchorId="29CF08BA" wp14:editId="1AD9F1F2">
            <wp:extent cx="5943600" cy="22039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203979"/>
                    </a:xfrm>
                    <a:prstGeom prst="rect">
                      <a:avLst/>
                    </a:prstGeom>
                    <a:noFill/>
                    <a:ln>
                      <a:noFill/>
                    </a:ln>
                  </pic:spPr>
                </pic:pic>
              </a:graphicData>
            </a:graphic>
          </wp:inline>
        </w:drawing>
      </w:r>
    </w:p>
    <w:p w14:paraId="79488736" w14:textId="04997FC8" w:rsidR="00671161" w:rsidRPr="00E16FA6" w:rsidRDefault="008B1925" w:rsidP="00E16FA6">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4</w:t>
      </w:r>
      <w:r>
        <w:rPr>
          <w:rFonts w:asciiTheme="minorHAnsi" w:hAnsiTheme="minorHAnsi" w:cstheme="minorHAnsi"/>
        </w:rPr>
        <w:t>. Ground station LN2 heat exchanger STUBE flow boiling regime vs. time (left hand panel: FLOCAD STUBE monitor locations, right hand panel: STUBE flow regime v</w:t>
      </w:r>
      <w:r w:rsidR="00E16FA6">
        <w:rPr>
          <w:rFonts w:asciiTheme="minorHAnsi" w:hAnsiTheme="minorHAnsi" w:cstheme="minorHAnsi"/>
        </w:rPr>
        <w:t>s. time)</w:t>
      </w:r>
    </w:p>
    <w:p w14:paraId="1D4F88D2" w14:textId="579C98E0" w:rsidR="003E13BE" w:rsidRDefault="003E13BE" w:rsidP="003E13BE">
      <w:pPr>
        <w:pStyle w:val="FigureTitle"/>
        <w:jc w:val="both"/>
        <w:rPr>
          <w:rFonts w:asciiTheme="minorHAnsi" w:hAnsiTheme="minorHAnsi" w:cstheme="minorHAnsi"/>
        </w:rPr>
      </w:pPr>
      <w:r>
        <w:rPr>
          <w:rFonts w:asciiTheme="minorHAnsi" w:hAnsiTheme="minorHAnsi" w:cstheme="minorHAnsi"/>
          <w:b w:val="0"/>
        </w:rPr>
        <w:t>The behavior of the flow of the LN2 at a given STUBE location is monitored using Figure 4, i.e. for STUBE</w:t>
      </w:r>
      <w:r w:rsidR="00671161">
        <w:rPr>
          <w:rFonts w:asciiTheme="minorHAnsi" w:hAnsiTheme="minorHAnsi" w:cstheme="minorHAnsi"/>
          <w:b w:val="0"/>
        </w:rPr>
        <w:t>.120</w:t>
      </w:r>
      <w:r>
        <w:rPr>
          <w:rFonts w:asciiTheme="minorHAnsi" w:hAnsiTheme="minorHAnsi" w:cstheme="minorHAnsi"/>
          <w:b w:val="0"/>
        </w:rPr>
        <w:t>, which is locate near the inlet, we expect the flow regime to remain constant as single phase flow, i.e. MREG = 0, as is recovered in Figure 5. Figure 5 plots MREG versus time for the STUBE</w:t>
      </w:r>
      <w:r w:rsidR="00671161">
        <w:rPr>
          <w:rFonts w:asciiTheme="minorHAnsi" w:hAnsiTheme="minorHAnsi" w:cstheme="minorHAnsi"/>
          <w:b w:val="0"/>
        </w:rPr>
        <w:t>.120</w:t>
      </w:r>
      <w:r>
        <w:rPr>
          <w:rFonts w:asciiTheme="minorHAnsi" w:hAnsiTheme="minorHAnsi" w:cstheme="minorHAnsi"/>
          <w:b w:val="0"/>
        </w:rPr>
        <w:t xml:space="preserve"> located near the inlet plenum.</w:t>
      </w:r>
      <w:r w:rsidR="009E7892">
        <w:rPr>
          <w:rFonts w:asciiTheme="minorHAnsi" w:hAnsiTheme="minorHAnsi" w:cstheme="minorHAnsi"/>
          <w:b w:val="0"/>
        </w:rPr>
        <w:t xml:space="preserve"> As expected MREG = 0 for the duration of the simulation, which serves as a sanity check when setting up the transient simulation.</w:t>
      </w:r>
    </w:p>
    <w:p w14:paraId="7EE93DB1" w14:textId="344825C1" w:rsidR="008B1925" w:rsidRDefault="00E73AD4" w:rsidP="008B1925">
      <w:pPr>
        <w:pStyle w:val="FigureTitle"/>
        <w:rPr>
          <w:rFonts w:asciiTheme="minorHAnsi" w:hAnsiTheme="minorHAnsi" w:cstheme="minorHAnsi"/>
        </w:rPr>
      </w:pPr>
      <w:r w:rsidRPr="00E73AD4">
        <w:rPr>
          <w:noProof/>
        </w:rPr>
        <w:drawing>
          <wp:inline distT="0" distB="0" distL="0" distR="0" wp14:anchorId="47D61B2C" wp14:editId="3EF1E30C">
            <wp:extent cx="5943600" cy="21076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107692"/>
                    </a:xfrm>
                    <a:prstGeom prst="rect">
                      <a:avLst/>
                    </a:prstGeom>
                    <a:noFill/>
                    <a:ln>
                      <a:noFill/>
                    </a:ln>
                  </pic:spPr>
                </pic:pic>
              </a:graphicData>
            </a:graphic>
          </wp:inline>
        </w:drawing>
      </w:r>
    </w:p>
    <w:p w14:paraId="4459A95E" w14:textId="0269C7BD" w:rsidR="003E13BE" w:rsidRDefault="008B1925" w:rsidP="00E16FA6">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5</w:t>
      </w:r>
      <w:r>
        <w:rPr>
          <w:rFonts w:asciiTheme="minorHAnsi" w:hAnsiTheme="minorHAnsi" w:cstheme="minorHAnsi"/>
        </w:rPr>
        <w:t>. Ground stat</w:t>
      </w:r>
      <w:r w:rsidR="00813D35">
        <w:rPr>
          <w:rFonts w:asciiTheme="minorHAnsi" w:hAnsiTheme="minorHAnsi" w:cstheme="minorHAnsi"/>
        </w:rPr>
        <w:t>ion LN2 heat exchanger STUBE.120</w:t>
      </w:r>
      <w:r>
        <w:rPr>
          <w:rFonts w:asciiTheme="minorHAnsi" w:hAnsiTheme="minorHAnsi" w:cstheme="minorHAnsi"/>
        </w:rPr>
        <w:t xml:space="preserve"> near supply LUMP flow boiling regime vs. time (left hand panel: FLOCAD STUBE monitor locations, right hand panel: STUBE flow regime vs. time)</w:t>
      </w:r>
    </w:p>
    <w:p w14:paraId="2BC79282" w14:textId="2D6F9A9F" w:rsidR="003E13BE" w:rsidRDefault="009E7892" w:rsidP="009E7892">
      <w:pPr>
        <w:pStyle w:val="FigureTitle"/>
        <w:jc w:val="both"/>
        <w:rPr>
          <w:rFonts w:asciiTheme="minorHAnsi" w:hAnsiTheme="minorHAnsi" w:cstheme="minorHAnsi"/>
        </w:rPr>
      </w:pPr>
      <w:r>
        <w:rPr>
          <w:rFonts w:asciiTheme="minorHAnsi" w:hAnsiTheme="minorHAnsi" w:cstheme="minorHAnsi"/>
          <w:b w:val="0"/>
        </w:rPr>
        <w:t>Figure 6 plots MREG versus time for the STUBE.197 and STUB.198 located midway in the heat exchanger flow path, near the centerline of the heat exchanger. Here, the MREG flow regime variable shows the flow changing from single phase to bubbly during 0 to 100 seconds of the simulation</w:t>
      </w:r>
      <w:r w:rsidR="00E73AD4">
        <w:rPr>
          <w:rFonts w:asciiTheme="minorHAnsi" w:hAnsiTheme="minorHAnsi" w:cstheme="minorHAnsi"/>
          <w:b w:val="0"/>
        </w:rPr>
        <w:t>, and from single-</w:t>
      </w:r>
      <w:r>
        <w:rPr>
          <w:rFonts w:asciiTheme="minorHAnsi" w:hAnsiTheme="minorHAnsi" w:cstheme="minorHAnsi"/>
          <w:b w:val="0"/>
        </w:rPr>
        <w:t>phase</w:t>
      </w:r>
      <w:r w:rsidR="00E73AD4">
        <w:rPr>
          <w:rFonts w:asciiTheme="minorHAnsi" w:hAnsiTheme="minorHAnsi" w:cstheme="minorHAnsi"/>
          <w:b w:val="0"/>
        </w:rPr>
        <w:t xml:space="preserve"> to</w:t>
      </w:r>
      <w:r>
        <w:rPr>
          <w:rFonts w:asciiTheme="minorHAnsi" w:hAnsiTheme="minorHAnsi" w:cstheme="minorHAnsi"/>
          <w:b w:val="0"/>
        </w:rPr>
        <w:t xml:space="preserve"> slug flow at approximately </w:t>
      </w:r>
      <w:r w:rsidR="00E73AD4">
        <w:rPr>
          <w:rFonts w:asciiTheme="minorHAnsi" w:hAnsiTheme="minorHAnsi" w:cstheme="minorHAnsi"/>
          <w:b w:val="0"/>
        </w:rPr>
        <w:t xml:space="preserve">during 200 to 250 </w:t>
      </w:r>
      <w:r>
        <w:rPr>
          <w:rFonts w:asciiTheme="minorHAnsi" w:hAnsiTheme="minorHAnsi" w:cstheme="minorHAnsi"/>
          <w:b w:val="0"/>
        </w:rPr>
        <w:t>seconds.</w:t>
      </w:r>
    </w:p>
    <w:p w14:paraId="67538AEE" w14:textId="5C0FD15A" w:rsidR="008B1925" w:rsidRDefault="00E73AD4" w:rsidP="008B1925">
      <w:pPr>
        <w:pStyle w:val="FigureTitle"/>
        <w:rPr>
          <w:rFonts w:asciiTheme="minorHAnsi" w:hAnsiTheme="minorHAnsi" w:cstheme="minorHAnsi"/>
        </w:rPr>
      </w:pPr>
      <w:r w:rsidRPr="00E73AD4">
        <w:rPr>
          <w:noProof/>
        </w:rPr>
        <w:lastRenderedPageBreak/>
        <w:drawing>
          <wp:inline distT="0" distB="0" distL="0" distR="0" wp14:anchorId="143BA6E9" wp14:editId="02CD16FA">
            <wp:extent cx="5943600" cy="224448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244481"/>
                    </a:xfrm>
                    <a:prstGeom prst="rect">
                      <a:avLst/>
                    </a:prstGeom>
                    <a:noFill/>
                    <a:ln>
                      <a:noFill/>
                    </a:ln>
                  </pic:spPr>
                </pic:pic>
              </a:graphicData>
            </a:graphic>
          </wp:inline>
        </w:drawing>
      </w:r>
    </w:p>
    <w:p w14:paraId="56231B92" w14:textId="65149DF4" w:rsidR="008B1925" w:rsidRDefault="008B1925" w:rsidP="008B1925">
      <w:pPr>
        <w:pStyle w:val="FigureTitle"/>
        <w:rPr>
          <w:rFonts w:asciiTheme="minorHAnsi" w:hAnsiTheme="minorHAnsi" w:cstheme="minorHAnsi"/>
        </w:rPr>
      </w:pPr>
    </w:p>
    <w:p w14:paraId="5CBFF7E7" w14:textId="174173E8" w:rsidR="008B1925" w:rsidRDefault="008B1925" w:rsidP="008B1925">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6</w:t>
      </w:r>
      <w:r>
        <w:rPr>
          <w:rFonts w:asciiTheme="minorHAnsi" w:hAnsiTheme="minorHAnsi" w:cstheme="minorHAnsi"/>
        </w:rPr>
        <w:t>. Ground station LN2 heat exchanger STUBE.197, STUBE.198 boiling regime vs. time (left hand panel: FLOCAD STUBE monitor locations, right hand panel: STUBE flow regime vs. time)</w:t>
      </w:r>
    </w:p>
    <w:p w14:paraId="271B7C8D" w14:textId="30B93C46" w:rsidR="008B1925" w:rsidRDefault="00671161" w:rsidP="004F62B0">
      <w:pPr>
        <w:pStyle w:val="FigureTitle"/>
        <w:jc w:val="both"/>
        <w:rPr>
          <w:rFonts w:asciiTheme="minorHAnsi" w:hAnsiTheme="minorHAnsi" w:cstheme="minorHAnsi"/>
        </w:rPr>
      </w:pPr>
      <w:r>
        <w:rPr>
          <w:rFonts w:asciiTheme="minorHAnsi" w:hAnsiTheme="minorHAnsi" w:cstheme="minorHAnsi"/>
          <w:b w:val="0"/>
        </w:rPr>
        <w:t>Figure 7 plots MREG versus time for the STUBE 210 located approximate midway in the heat exchanger flow path, upstream of the elbow where STUBE 197 and STUBE 198 reside. Here, the MREG flow regime variable shows the flow changing from bubbly to slug over 250 seconds of the transient simulation.</w:t>
      </w:r>
    </w:p>
    <w:p w14:paraId="36AE01CA" w14:textId="7585A5B3" w:rsidR="00DD13D8" w:rsidRDefault="00E73AD4" w:rsidP="008B1925">
      <w:pPr>
        <w:pStyle w:val="FigureTitle"/>
        <w:rPr>
          <w:rFonts w:asciiTheme="minorHAnsi" w:hAnsiTheme="minorHAnsi" w:cstheme="minorHAnsi"/>
        </w:rPr>
      </w:pPr>
      <w:r w:rsidRPr="00E73AD4">
        <w:rPr>
          <w:noProof/>
        </w:rPr>
        <w:drawing>
          <wp:inline distT="0" distB="0" distL="0" distR="0" wp14:anchorId="2332C368" wp14:editId="2DB6BE8D">
            <wp:extent cx="5943600" cy="2263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263140"/>
                    </a:xfrm>
                    <a:prstGeom prst="rect">
                      <a:avLst/>
                    </a:prstGeom>
                    <a:noFill/>
                    <a:ln>
                      <a:noFill/>
                    </a:ln>
                  </pic:spPr>
                </pic:pic>
              </a:graphicData>
            </a:graphic>
          </wp:inline>
        </w:drawing>
      </w:r>
    </w:p>
    <w:p w14:paraId="171BC42C" w14:textId="621D9CB6" w:rsidR="00671161" w:rsidRDefault="00DD13D8" w:rsidP="00E73AD4">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7</w:t>
      </w:r>
      <w:r>
        <w:rPr>
          <w:rFonts w:asciiTheme="minorHAnsi" w:hAnsiTheme="minorHAnsi" w:cstheme="minorHAnsi"/>
        </w:rPr>
        <w:t>. Ground station LN2 heat exchanger STUBE.210 boiling regime vs. time (left hand panel: FLOCAD STUBE monitor locations, right hand panel: STUBE flow regime vs. time)</w:t>
      </w:r>
    </w:p>
    <w:p w14:paraId="43B97F50" w14:textId="25B94AAE" w:rsidR="00DD13D8" w:rsidRDefault="00671161" w:rsidP="00671161">
      <w:pPr>
        <w:pStyle w:val="FigureTitle"/>
        <w:jc w:val="both"/>
        <w:rPr>
          <w:rFonts w:asciiTheme="minorHAnsi" w:hAnsiTheme="minorHAnsi" w:cstheme="minorHAnsi"/>
        </w:rPr>
      </w:pPr>
      <w:r>
        <w:rPr>
          <w:rFonts w:asciiTheme="minorHAnsi" w:hAnsiTheme="minorHAnsi" w:cstheme="minorHAnsi"/>
          <w:b w:val="0"/>
        </w:rPr>
        <w:t>Figure 8 plots MREG versus time for the STUBE 300 located the closest downstream relative to the inlet plenum and STUBE 120. Here, the MREG flow regime variable shows the flow changing from annular to bubble over the 1400 second transient simulation.</w:t>
      </w:r>
    </w:p>
    <w:p w14:paraId="1A8E4D2A" w14:textId="6BE71CA7" w:rsidR="008B1925" w:rsidRDefault="00E73AD4" w:rsidP="00E73AD4">
      <w:pPr>
        <w:pStyle w:val="FigureTitle"/>
        <w:rPr>
          <w:rFonts w:asciiTheme="minorHAnsi" w:hAnsiTheme="minorHAnsi" w:cstheme="minorHAnsi"/>
        </w:rPr>
      </w:pPr>
      <w:r w:rsidRPr="00E73AD4">
        <w:rPr>
          <w:noProof/>
        </w:rPr>
        <w:lastRenderedPageBreak/>
        <w:drawing>
          <wp:inline distT="0" distB="0" distL="0" distR="0" wp14:anchorId="394CE70F" wp14:editId="703071E8">
            <wp:extent cx="5943600" cy="209053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90532"/>
                    </a:xfrm>
                    <a:prstGeom prst="rect">
                      <a:avLst/>
                    </a:prstGeom>
                    <a:noFill/>
                    <a:ln>
                      <a:noFill/>
                    </a:ln>
                  </pic:spPr>
                </pic:pic>
              </a:graphicData>
            </a:graphic>
          </wp:inline>
        </w:drawing>
      </w:r>
    </w:p>
    <w:p w14:paraId="3FDA911E" w14:textId="5CEC7E9D" w:rsidR="00671161" w:rsidRDefault="00DD13D8" w:rsidP="00E73AD4">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8</w:t>
      </w:r>
      <w:r>
        <w:rPr>
          <w:rFonts w:asciiTheme="minorHAnsi" w:hAnsiTheme="minorHAnsi" w:cstheme="minorHAnsi"/>
        </w:rPr>
        <w:t>. Ground station LN2 heat exchanger STUBE.300 boiling regime vs. time (left hand panel: FLOCAD STUBE monitor locations, right hand panel: STUBE flow regime vs. time)</w:t>
      </w:r>
    </w:p>
    <w:p w14:paraId="69504355" w14:textId="40344F4D" w:rsidR="00671161" w:rsidRDefault="00671161" w:rsidP="00671161">
      <w:pPr>
        <w:pStyle w:val="FigureTitle"/>
        <w:jc w:val="both"/>
        <w:rPr>
          <w:rFonts w:asciiTheme="minorHAnsi" w:hAnsiTheme="minorHAnsi" w:cstheme="minorHAnsi"/>
          <w:b w:val="0"/>
        </w:rPr>
      </w:pPr>
      <w:r>
        <w:rPr>
          <w:rFonts w:asciiTheme="minorHAnsi" w:hAnsiTheme="minorHAnsi" w:cstheme="minorHAnsi"/>
          <w:b w:val="0"/>
        </w:rPr>
        <w:t xml:space="preserve">The </w:t>
      </w:r>
      <w:r w:rsidR="00E73AD4">
        <w:rPr>
          <w:rFonts w:asciiTheme="minorHAnsi" w:hAnsiTheme="minorHAnsi" w:cstheme="minorHAnsi"/>
          <w:b w:val="0"/>
        </w:rPr>
        <w:t>primary take</w:t>
      </w:r>
      <w:r>
        <w:rPr>
          <w:rFonts w:asciiTheme="minorHAnsi" w:hAnsiTheme="minorHAnsi" w:cstheme="minorHAnsi"/>
          <w:b w:val="0"/>
        </w:rPr>
        <w:t xml:space="preserve"> away from the flow regime behavior plots of Figure 4 through Figure 8 above is that the two-phase flow regime changes with time over the course of the simulation, and thus modeling the flow as homogenous during the duration of the simulation would lead to inaccurate flow time constant predictions. This is further illustrated by Figure 9. Figure 9 shows a comparison of modeling the LN2 ground test heat exchanger as a homogenous non-boiling flow (left panel) versus a two-phase boiling flow (right panel).  Figure 9 plots the temperature versus time behavior of various heat exchanger panel nodes, and th</w:t>
      </w:r>
      <w:r w:rsidR="002247A8">
        <w:rPr>
          <w:rFonts w:asciiTheme="minorHAnsi" w:hAnsiTheme="minorHAnsi" w:cstheme="minorHAnsi"/>
          <w:b w:val="0"/>
        </w:rPr>
        <w:t>us provides a metric of the cool-down time</w:t>
      </w:r>
      <w:r w:rsidR="006A4826">
        <w:rPr>
          <w:rFonts w:asciiTheme="minorHAnsi" w:hAnsiTheme="minorHAnsi" w:cstheme="minorHAnsi"/>
          <w:b w:val="0"/>
        </w:rPr>
        <w:t xml:space="preserve"> </w:t>
      </w:r>
      <w:r w:rsidR="002247A8">
        <w:rPr>
          <w:rFonts w:asciiTheme="minorHAnsi" w:hAnsiTheme="minorHAnsi" w:cstheme="minorHAnsi"/>
          <w:b w:val="0"/>
        </w:rPr>
        <w:t xml:space="preserve">rate </w:t>
      </w:r>
      <w:r w:rsidR="002247A8" w:rsidRPr="00ED241D">
        <w:rPr>
          <w:rFonts w:ascii="Symbol" w:hAnsi="Symbol" w:cstheme="minorHAnsi"/>
          <w:b w:val="0"/>
        </w:rPr>
        <w:t></w:t>
      </w:r>
      <w:r w:rsidR="002247A8">
        <w:rPr>
          <w:rFonts w:asciiTheme="minorHAnsi" w:hAnsiTheme="minorHAnsi" w:cstheme="minorHAnsi"/>
          <w:b w:val="0"/>
        </w:rPr>
        <w:t>T/</w:t>
      </w:r>
      <w:r w:rsidR="006A4826">
        <w:rPr>
          <w:rFonts w:ascii="Symbol" w:hAnsi="Symbol" w:cstheme="minorHAnsi"/>
          <w:b w:val="0"/>
        </w:rPr>
        <w:t></w:t>
      </w:r>
      <w:r w:rsidR="002247A8">
        <w:rPr>
          <w:rFonts w:asciiTheme="minorHAnsi" w:hAnsiTheme="minorHAnsi" w:cstheme="minorHAnsi"/>
          <w:b w:val="0"/>
        </w:rPr>
        <w:t>t</w:t>
      </w:r>
      <w:r>
        <w:rPr>
          <w:rFonts w:asciiTheme="minorHAnsi" w:hAnsiTheme="minorHAnsi" w:cstheme="minorHAnsi"/>
          <w:b w:val="0"/>
        </w:rPr>
        <w:t xml:space="preserve"> of the heat exchanger. </w:t>
      </w:r>
    </w:p>
    <w:p w14:paraId="30096137" w14:textId="77777777" w:rsidR="00E16FA6" w:rsidRPr="00671161" w:rsidRDefault="00E16FA6" w:rsidP="00671161">
      <w:pPr>
        <w:pStyle w:val="FigureTitle"/>
        <w:jc w:val="both"/>
        <w:rPr>
          <w:rFonts w:asciiTheme="minorHAnsi" w:hAnsiTheme="minorHAnsi" w:cstheme="minorHAnsi"/>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D13D8" w14:paraId="62D7A1CD" w14:textId="77777777" w:rsidTr="004F62B0">
        <w:tc>
          <w:tcPr>
            <w:tcW w:w="4675" w:type="dxa"/>
          </w:tcPr>
          <w:p w14:paraId="054E7ADD" w14:textId="77777777" w:rsidR="00DD13D8" w:rsidRPr="002A66CF" w:rsidRDefault="00DD13D8" w:rsidP="007A5AA9">
            <w:pPr>
              <w:pStyle w:val="FigureTitle"/>
              <w:rPr>
                <w:rFonts w:asciiTheme="minorHAnsi" w:hAnsiTheme="minorHAnsi" w:cstheme="minorHAnsi"/>
                <w:b w:val="0"/>
              </w:rPr>
            </w:pPr>
            <w:r w:rsidRPr="002A66CF">
              <w:rPr>
                <w:rFonts w:asciiTheme="minorHAnsi" w:hAnsiTheme="minorHAnsi" w:cstheme="minorHAnsi"/>
                <w:b w:val="0"/>
                <w:noProof/>
              </w:rPr>
              <w:drawing>
                <wp:inline distT="0" distB="0" distL="0" distR="0" wp14:anchorId="2CA96654" wp14:editId="3FA1AA14">
                  <wp:extent cx="2719387" cy="1914333"/>
                  <wp:effectExtent l="0" t="0" r="5080" b="0"/>
                  <wp:docPr id="26"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pic:cNvPicPr>
                            <a:picLocks noChangeAspect="1"/>
                          </pic:cNvPicPr>
                        </pic:nvPicPr>
                        <pic:blipFill rotWithShape="1">
                          <a:blip r:embed="rId29"/>
                          <a:srcRect r="1822" b="2237"/>
                          <a:stretch/>
                        </pic:blipFill>
                        <pic:spPr bwMode="auto">
                          <a:xfrm>
                            <a:off x="0" y="0"/>
                            <a:ext cx="2727062" cy="1919736"/>
                          </a:xfrm>
                          <a:prstGeom prst="rect">
                            <a:avLst/>
                          </a:prstGeom>
                          <a:ln>
                            <a:noFill/>
                          </a:ln>
                          <a:extLst>
                            <a:ext uri="{53640926-AAD7-44D8-BBD7-CCE9431645EC}">
                              <a14:shadowObscured xmlns:a14="http://schemas.microsoft.com/office/drawing/2010/main"/>
                            </a:ext>
                          </a:extLst>
                        </pic:spPr>
                      </pic:pic>
                    </a:graphicData>
                  </a:graphic>
                </wp:inline>
              </w:drawing>
            </w:r>
          </w:p>
          <w:p w14:paraId="5088CCB7" w14:textId="5F9727A7" w:rsidR="004F62B0" w:rsidRPr="002A66CF" w:rsidRDefault="004F62B0" w:rsidP="007A5AA9">
            <w:pPr>
              <w:pStyle w:val="FigureTitle"/>
              <w:rPr>
                <w:rFonts w:asciiTheme="minorHAnsi" w:hAnsiTheme="minorHAnsi" w:cstheme="minorHAnsi"/>
                <w:b w:val="0"/>
              </w:rPr>
            </w:pPr>
            <w:r w:rsidRPr="002A66CF">
              <w:rPr>
                <w:rFonts w:asciiTheme="minorHAnsi" w:hAnsiTheme="minorHAnsi" w:cstheme="minorHAnsi"/>
                <w:b w:val="0"/>
              </w:rPr>
              <w:t>(a) no flow boiling</w:t>
            </w:r>
          </w:p>
        </w:tc>
        <w:tc>
          <w:tcPr>
            <w:tcW w:w="4675" w:type="dxa"/>
          </w:tcPr>
          <w:p w14:paraId="7D53B466" w14:textId="77777777" w:rsidR="00DD13D8" w:rsidRPr="002A66CF" w:rsidRDefault="00DD13D8" w:rsidP="007A5AA9">
            <w:pPr>
              <w:pStyle w:val="FigureTitle"/>
              <w:rPr>
                <w:rFonts w:asciiTheme="minorHAnsi" w:hAnsiTheme="minorHAnsi" w:cstheme="minorHAnsi"/>
                <w:b w:val="0"/>
              </w:rPr>
            </w:pPr>
            <w:r w:rsidRPr="002A66CF">
              <w:rPr>
                <w:rFonts w:asciiTheme="minorHAnsi" w:hAnsiTheme="minorHAnsi" w:cstheme="minorHAnsi"/>
                <w:b w:val="0"/>
                <w:noProof/>
              </w:rPr>
              <w:drawing>
                <wp:inline distT="0" distB="0" distL="0" distR="0" wp14:anchorId="21125C4E" wp14:editId="4EADE3C0">
                  <wp:extent cx="2728913" cy="191389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a:srcRect r="1501" b="2283"/>
                          <a:stretch/>
                        </pic:blipFill>
                        <pic:spPr bwMode="auto">
                          <a:xfrm>
                            <a:off x="0" y="0"/>
                            <a:ext cx="2747392" cy="1926850"/>
                          </a:xfrm>
                          <a:prstGeom prst="rect">
                            <a:avLst/>
                          </a:prstGeom>
                          <a:ln>
                            <a:noFill/>
                          </a:ln>
                          <a:extLst>
                            <a:ext uri="{53640926-AAD7-44D8-BBD7-CCE9431645EC}">
                              <a14:shadowObscured xmlns:a14="http://schemas.microsoft.com/office/drawing/2010/main"/>
                            </a:ext>
                          </a:extLst>
                        </pic:spPr>
                      </pic:pic>
                    </a:graphicData>
                  </a:graphic>
                </wp:inline>
              </w:drawing>
            </w:r>
          </w:p>
          <w:p w14:paraId="2B226DB6" w14:textId="2809C51A" w:rsidR="004F62B0" w:rsidRPr="002A66CF" w:rsidRDefault="004F62B0" w:rsidP="007A5AA9">
            <w:pPr>
              <w:pStyle w:val="FigureTitle"/>
              <w:rPr>
                <w:rFonts w:asciiTheme="minorHAnsi" w:hAnsiTheme="minorHAnsi" w:cstheme="minorHAnsi"/>
                <w:b w:val="0"/>
              </w:rPr>
            </w:pPr>
            <w:r w:rsidRPr="002A66CF">
              <w:rPr>
                <w:rFonts w:asciiTheme="minorHAnsi" w:hAnsiTheme="minorHAnsi" w:cstheme="minorHAnsi"/>
                <w:b w:val="0"/>
              </w:rPr>
              <w:t>(b) flow boiling</w:t>
            </w:r>
          </w:p>
        </w:tc>
      </w:tr>
    </w:tbl>
    <w:p w14:paraId="5249EAF5" w14:textId="66FCE7B7" w:rsidR="007A5AA9" w:rsidRDefault="007A5AA9" w:rsidP="00DD13D8">
      <w:pPr>
        <w:pStyle w:val="FigureTitle"/>
        <w:jc w:val="left"/>
        <w:rPr>
          <w:rFonts w:asciiTheme="minorHAnsi" w:hAnsiTheme="minorHAnsi" w:cstheme="minorHAnsi"/>
        </w:rPr>
      </w:pPr>
    </w:p>
    <w:p w14:paraId="711D1732" w14:textId="5C7E2DB7" w:rsidR="00DD13D8" w:rsidRDefault="00DD13D8" w:rsidP="00DD13D8">
      <w:pPr>
        <w:pStyle w:val="FigureTitle"/>
        <w:rPr>
          <w:rFonts w:asciiTheme="minorHAnsi" w:hAnsiTheme="minorHAnsi" w:cstheme="minorHAnsi"/>
        </w:rPr>
      </w:pPr>
      <w:r w:rsidRPr="008C34F0">
        <w:rPr>
          <w:rFonts w:asciiTheme="minorHAnsi" w:hAnsiTheme="minorHAnsi" w:cstheme="minorHAnsi"/>
        </w:rPr>
        <w:t xml:space="preserve">Figure </w:t>
      </w:r>
      <w:r w:rsidR="003E13BE">
        <w:rPr>
          <w:rFonts w:asciiTheme="minorHAnsi" w:hAnsiTheme="minorHAnsi" w:cstheme="minorHAnsi"/>
          <w:noProof/>
        </w:rPr>
        <w:t>9</w:t>
      </w:r>
      <w:r>
        <w:rPr>
          <w:rFonts w:asciiTheme="minorHAnsi" w:hAnsiTheme="minorHAnsi" w:cstheme="minorHAnsi"/>
        </w:rPr>
        <w:t>. Ground station LN2 heat exchanger cool down predictions (left hand panel: without boiling flow, right hand panel: with boiling flow)</w:t>
      </w:r>
    </w:p>
    <w:p w14:paraId="6FACA636" w14:textId="7637309C" w:rsidR="00671161" w:rsidRDefault="004F62B0" w:rsidP="004F62B0">
      <w:pPr>
        <w:pStyle w:val="FigureTitle"/>
        <w:jc w:val="both"/>
        <w:rPr>
          <w:rFonts w:asciiTheme="minorHAnsi" w:hAnsiTheme="minorHAnsi" w:cstheme="minorHAnsi"/>
        </w:rPr>
      </w:pPr>
      <w:r>
        <w:rPr>
          <w:rFonts w:asciiTheme="minorHAnsi" w:hAnsiTheme="minorHAnsi" w:cstheme="minorHAnsi"/>
          <w:b w:val="0"/>
        </w:rPr>
        <w:t xml:space="preserve">It can be seen that the cool down time rate of the flow with versus without boiling is drastically different, with the two-phase boiling flow case having </w:t>
      </w:r>
      <w:r w:rsidR="002A66CF" w:rsidRPr="002A66CF">
        <w:rPr>
          <w:rFonts w:ascii="Symbol" w:hAnsi="Symbol" w:cstheme="minorHAnsi"/>
          <w:b w:val="0"/>
        </w:rPr>
        <w:t></w:t>
      </w:r>
      <w:r w:rsidR="002A66CF">
        <w:rPr>
          <w:rFonts w:asciiTheme="minorHAnsi" w:hAnsiTheme="minorHAnsi" w:cstheme="minorHAnsi"/>
          <w:b w:val="0"/>
        </w:rPr>
        <w:t>T/</w:t>
      </w:r>
      <w:r w:rsidR="002A66CF" w:rsidRPr="002A66CF">
        <w:rPr>
          <w:rFonts w:ascii="Symbol" w:hAnsi="Symbol" w:cstheme="minorHAnsi"/>
          <w:b w:val="0"/>
        </w:rPr>
        <w:t></w:t>
      </w:r>
      <w:r w:rsidR="002A66CF">
        <w:rPr>
          <w:rFonts w:asciiTheme="minorHAnsi" w:hAnsiTheme="minorHAnsi" w:cstheme="minorHAnsi"/>
          <w:b w:val="0"/>
        </w:rPr>
        <w:t xml:space="preserve">t = </w:t>
      </w:r>
      <w:r>
        <w:rPr>
          <w:rFonts w:asciiTheme="minorHAnsi" w:hAnsiTheme="minorHAnsi" w:cstheme="minorHAnsi"/>
          <w:b w:val="0"/>
        </w:rPr>
        <w:t xml:space="preserve">18 K/min cool down time rate, in contrast to </w:t>
      </w:r>
      <w:r w:rsidR="002A66CF" w:rsidRPr="002A66CF">
        <w:rPr>
          <w:rFonts w:ascii="Symbol" w:hAnsi="Symbol" w:cstheme="minorHAnsi"/>
          <w:b w:val="0"/>
        </w:rPr>
        <w:t></w:t>
      </w:r>
      <w:r w:rsidR="002A66CF">
        <w:rPr>
          <w:rFonts w:asciiTheme="minorHAnsi" w:hAnsiTheme="minorHAnsi" w:cstheme="minorHAnsi"/>
          <w:b w:val="0"/>
        </w:rPr>
        <w:t>T/</w:t>
      </w:r>
      <w:r w:rsidR="002A66CF" w:rsidRPr="002A66CF">
        <w:rPr>
          <w:rFonts w:ascii="Symbol" w:hAnsi="Symbol" w:cstheme="minorHAnsi"/>
          <w:b w:val="0"/>
        </w:rPr>
        <w:t></w:t>
      </w:r>
      <w:r w:rsidR="002A66CF">
        <w:rPr>
          <w:rFonts w:asciiTheme="minorHAnsi" w:hAnsiTheme="minorHAnsi" w:cstheme="minorHAnsi"/>
          <w:b w:val="0"/>
        </w:rPr>
        <w:t xml:space="preserve">t = </w:t>
      </w:r>
      <w:r>
        <w:rPr>
          <w:rFonts w:asciiTheme="minorHAnsi" w:hAnsiTheme="minorHAnsi" w:cstheme="minorHAnsi"/>
          <w:b w:val="0"/>
        </w:rPr>
        <w:t>5 K/min for the homogenous flow. Thus, for test planning purposes, the two-</w:t>
      </w:r>
      <w:r>
        <w:rPr>
          <w:rFonts w:asciiTheme="minorHAnsi" w:hAnsiTheme="minorHAnsi" w:cstheme="minorHAnsi"/>
          <w:b w:val="0"/>
        </w:rPr>
        <w:lastRenderedPageBreak/>
        <w:t>phase heat exchanger affords a quicker response time when being used as a proximity boundary condition for simulating the proper cool off behavior hardware in a thermal testing environment.</w:t>
      </w:r>
    </w:p>
    <w:p w14:paraId="2ACA235D" w14:textId="56BE0BDD" w:rsidR="00013CA5" w:rsidRDefault="006D444D" w:rsidP="000F29D9">
      <w:pPr>
        <w:pStyle w:val="Heading1"/>
      </w:pPr>
      <w:r>
        <w:t>CONCLUSIONS</w:t>
      </w:r>
      <w:r w:rsidR="003E13BE">
        <w:t xml:space="preserve"> </w:t>
      </w:r>
    </w:p>
    <w:p w14:paraId="27BB5DDC" w14:textId="024071A3" w:rsidR="00013CA5" w:rsidRPr="00D61346" w:rsidRDefault="00A14560" w:rsidP="00D61346">
      <w:pPr>
        <w:jc w:val="both"/>
        <w:rPr>
          <w:b/>
        </w:rPr>
      </w:pPr>
      <w:r>
        <w:t xml:space="preserve">This paper has presented a case study in using Thermal Desktop / FLOCAD and SINDA/FLUINT in order to simulate two-phase boiling flow heat transfer behavior of a </w:t>
      </w:r>
      <w:r w:rsidR="00D61346">
        <w:t>LN2 ground test heat exchanger. The paper reviewed the methodology used within the SINDA/FLUINT program regarding the modeling and treatment of two-phase flows. This was followed by discussion of the set-up and modeling of the LN2 ground test heat exchanger. The paper closes with a discussion of transient simulation results which illustrate how the post-processing capabilities of SINDA/FLUINT two-phase flow can be used to ascertain the behavior of heat transfer in a complex two-phase system over time.</w:t>
      </w:r>
    </w:p>
    <w:p w14:paraId="5A0C87CE" w14:textId="6803668F" w:rsidR="00013CA5" w:rsidRDefault="00013CA5" w:rsidP="000F29D9">
      <w:pPr>
        <w:pStyle w:val="Heading1"/>
      </w:pPr>
      <w:r>
        <w:t>ACKNOWLEDGEMENTS</w:t>
      </w:r>
      <w:r w:rsidR="003E13BE">
        <w:t xml:space="preserve"> </w:t>
      </w:r>
    </w:p>
    <w:p w14:paraId="2DC2BD3C" w14:textId="42FD9880" w:rsidR="00013CA5" w:rsidRDefault="00D61346" w:rsidP="003A0D50">
      <w:r>
        <w:t xml:space="preserve">The author would like to thank Jane Baumann and </w:t>
      </w:r>
      <w:r w:rsidR="00E73AD4">
        <w:t>David Johnson of C&amp;R Technologies for their help and guidance in setting up the two-phase flow simulations discussed herein.</w:t>
      </w:r>
    </w:p>
    <w:p w14:paraId="22E260A5" w14:textId="7CBB7E1A" w:rsidR="004F19FC" w:rsidRDefault="006D444D" w:rsidP="004F19FC">
      <w:pPr>
        <w:pStyle w:val="Heading1"/>
      </w:pPr>
      <w:r>
        <w:t>CONTACT</w:t>
      </w:r>
      <w:r w:rsidR="003E13BE">
        <w:t xml:space="preserve"> </w:t>
      </w:r>
    </w:p>
    <w:p w14:paraId="61A2561B" w14:textId="450D30A7" w:rsidR="004F19FC" w:rsidRDefault="00E73AD4" w:rsidP="004F19FC">
      <w:r>
        <w:t xml:space="preserve">Kevin R. Anderson, </w:t>
      </w:r>
      <w:r w:rsidR="00180EF3">
        <w:t xml:space="preserve">Ph.D., </w:t>
      </w:r>
      <w:r>
        <w:t>P.E.</w:t>
      </w:r>
    </w:p>
    <w:p w14:paraId="26106065" w14:textId="0038C53C" w:rsidR="00D56EA6" w:rsidRDefault="00D56EA6" w:rsidP="004F19FC">
      <w:r>
        <w:t>Faculty Part Time Thermal Engineer, Caltech NASA Jet Propulsion Lab</w:t>
      </w:r>
    </w:p>
    <w:p w14:paraId="5DC4F32A" w14:textId="21AAFDFA" w:rsidR="00E73AD4" w:rsidRDefault="00180EF3" w:rsidP="004F19FC">
      <w:r>
        <w:t xml:space="preserve">Professor </w:t>
      </w:r>
      <w:r w:rsidR="00E73AD4">
        <w:t xml:space="preserve">Mechanical Engineering </w:t>
      </w:r>
    </w:p>
    <w:p w14:paraId="1A8925EC" w14:textId="7FB7F026" w:rsidR="00E73AD4" w:rsidRDefault="00E73AD4" w:rsidP="004F19FC">
      <w:r>
        <w:t>California State Polytechnic University at Pomona</w:t>
      </w:r>
    </w:p>
    <w:p w14:paraId="4E84D771" w14:textId="43C94AFB" w:rsidR="00E73AD4" w:rsidRDefault="00E73AD4" w:rsidP="004F19FC">
      <w:r>
        <w:t>3801 West Temple Blvd., Building 17-2353</w:t>
      </w:r>
    </w:p>
    <w:p w14:paraId="5DDB774E" w14:textId="4CC93EFA" w:rsidR="00E73AD4" w:rsidRDefault="00E73AD4" w:rsidP="004F19FC">
      <w:r>
        <w:t>Pomona, CA 91768, USA</w:t>
      </w:r>
    </w:p>
    <w:p w14:paraId="11A68E27" w14:textId="7C8DFEF0" w:rsidR="00E73AD4" w:rsidRDefault="005B1D4C" w:rsidP="004F19FC">
      <w:hyperlink r:id="rId31" w:history="1">
        <w:r w:rsidR="00180EF3" w:rsidRPr="00BB61FF">
          <w:rPr>
            <w:rStyle w:val="Hyperlink"/>
          </w:rPr>
          <w:t>kranderson1@cpp.edu</w:t>
        </w:r>
      </w:hyperlink>
    </w:p>
    <w:p w14:paraId="4CA5A589" w14:textId="2C86E4EB" w:rsidR="00E73AD4" w:rsidRDefault="005B1D4C" w:rsidP="004F19FC">
      <w:hyperlink r:id="rId32" w:history="1">
        <w:r w:rsidR="00180EF3" w:rsidRPr="00BB61FF">
          <w:rPr>
            <w:rStyle w:val="Hyperlink"/>
          </w:rPr>
          <w:t>https://www.cpp.edu/faculty/kranderson1/index.shtml</w:t>
        </w:r>
      </w:hyperlink>
    </w:p>
    <w:p w14:paraId="0EBD26DC" w14:textId="0215B975" w:rsidR="00013CA5" w:rsidRDefault="005556BD" w:rsidP="000F29D9">
      <w:pPr>
        <w:pStyle w:val="Heading1"/>
      </w:pPr>
      <w:r>
        <w:t>REFERENCES</w:t>
      </w:r>
      <w:r w:rsidR="003E13BE">
        <w:t xml:space="preserve"> </w:t>
      </w:r>
    </w:p>
    <w:p w14:paraId="53A56866" w14:textId="77777777" w:rsidR="00D56EA6" w:rsidRPr="00D56EA6" w:rsidRDefault="00D56EA6" w:rsidP="00D56EA6">
      <w:pPr>
        <w:jc w:val="both"/>
      </w:pPr>
      <w:r w:rsidRPr="00D56EA6">
        <w:t xml:space="preserve">[1]  Magee, Thomas C., Kristen M. Hines, Mike A. Dumesh, Andrew D. Meekins, and Michael M. Bridges. "Simulation and Validation of a Two-Phase Pumped Loop Cooling System." In </w:t>
      </w:r>
      <w:r w:rsidRPr="00D56EA6">
        <w:rPr>
          <w:i/>
          <w:iCs/>
        </w:rPr>
        <w:t>ASME International Mechanical Engineering Congress and Exposition</w:t>
      </w:r>
      <w:r w:rsidRPr="00D56EA6">
        <w:t>, vol. 59452, p. V008T09A013. American Society of Mechanical Engineers, 2019.</w:t>
      </w:r>
    </w:p>
    <w:p w14:paraId="0BA2F9CF" w14:textId="77777777" w:rsidR="00D56EA6" w:rsidRPr="00D56EA6" w:rsidRDefault="00D56EA6" w:rsidP="00D56EA6">
      <w:pPr>
        <w:jc w:val="both"/>
      </w:pPr>
      <w:r w:rsidRPr="00D56EA6">
        <w:lastRenderedPageBreak/>
        <w:t>[2] CAPABLO, Joaquin, Nelson GARCIA-POLANCO, and John DOYLE. "Study of Heat Transfer Process from a Circuit Board using Heat Pipes." (2013).</w:t>
      </w:r>
    </w:p>
    <w:p w14:paraId="06562B22" w14:textId="4A735AB4" w:rsidR="00D56EA6" w:rsidRPr="00D56EA6" w:rsidRDefault="00D56EA6" w:rsidP="00D56EA6">
      <w:pPr>
        <w:jc w:val="both"/>
      </w:pPr>
      <w:r w:rsidRPr="00D56EA6">
        <w:t xml:space="preserve">[3] Schallhorn, Paul, D. Campbell, Sukh Chase, Jorge Piquero, Cindy Fortenberry, Xiaoyi Li, and Lisa Grob. "Upper stage tank thermodynamic modeling using SINDA/FLUINT." In </w:t>
      </w:r>
      <w:r w:rsidRPr="00D56EA6">
        <w:rPr>
          <w:i/>
          <w:iCs/>
        </w:rPr>
        <w:t>42nd AIAA/ASME/SAE/ASEE Joint Propulsion Conference &amp; Exhibit</w:t>
      </w:r>
      <w:r w:rsidRPr="00D56EA6">
        <w:t>, p. 5051. 2006.</w:t>
      </w:r>
    </w:p>
    <w:p w14:paraId="6CB8D243" w14:textId="08C5A67F" w:rsidR="00D56EA6" w:rsidRPr="00D56EA6" w:rsidRDefault="00D56EA6" w:rsidP="00D56EA6">
      <w:pPr>
        <w:jc w:val="both"/>
      </w:pPr>
      <w:r w:rsidRPr="00D56EA6">
        <w:t>[4] Baker, O., 1954, Simultaneous Flow of Oil and Gas, Oil and Gas Journal, 53, pp.185-195.</w:t>
      </w:r>
    </w:p>
    <w:p w14:paraId="4B49E70D" w14:textId="7C66B744" w:rsidR="00D55927" w:rsidRDefault="00D56EA6" w:rsidP="00D56EA6">
      <w:pPr>
        <w:jc w:val="both"/>
      </w:pPr>
      <w:r w:rsidRPr="00D56EA6">
        <w:t xml:space="preserve">[5] </w:t>
      </w:r>
      <w:r w:rsidR="00D55927" w:rsidRPr="00D55927">
        <w:t>https://www.thermalfluidscentral.org/</w:t>
      </w:r>
    </w:p>
    <w:p w14:paraId="60ABCFCC" w14:textId="0976451C" w:rsidR="00D56EA6" w:rsidRPr="00D56EA6" w:rsidRDefault="00D55927" w:rsidP="00D56EA6">
      <w:pPr>
        <w:jc w:val="both"/>
      </w:pPr>
      <w:r>
        <w:t xml:space="preserve">[6] </w:t>
      </w:r>
      <w:r w:rsidR="00D56EA6" w:rsidRPr="00D56EA6">
        <w:t>SINDA/FLUINT User’s Manual https://crtech.com/guides-and-manuals</w:t>
      </w:r>
    </w:p>
    <w:p w14:paraId="4BF2A5D8" w14:textId="1E2CECF3" w:rsidR="00D56EA6" w:rsidRDefault="00D55927" w:rsidP="00D56EA6">
      <w:pPr>
        <w:pStyle w:val="FigureTitle"/>
        <w:jc w:val="both"/>
        <w:rPr>
          <w:rFonts w:asciiTheme="minorHAnsi" w:hAnsiTheme="minorHAnsi" w:cstheme="minorHAnsi"/>
          <w:b w:val="0"/>
        </w:rPr>
      </w:pPr>
      <w:r>
        <w:rPr>
          <w:rFonts w:asciiTheme="minorHAnsi" w:hAnsiTheme="minorHAnsi" w:cstheme="minorHAnsi"/>
          <w:b w:val="0"/>
        </w:rPr>
        <w:t>[7</w:t>
      </w:r>
      <w:r w:rsidR="00D56EA6" w:rsidRPr="00D56EA6">
        <w:rPr>
          <w:rFonts w:asciiTheme="minorHAnsi" w:hAnsiTheme="minorHAnsi" w:cstheme="minorHAnsi"/>
          <w:b w:val="0"/>
        </w:rPr>
        <w:t xml:space="preserve">] </w:t>
      </w:r>
      <w:r w:rsidR="00E16FA6" w:rsidRPr="00DE44FE">
        <w:rPr>
          <w:rFonts w:asciiTheme="minorHAnsi" w:hAnsiTheme="minorHAnsi" w:cstheme="minorHAnsi"/>
          <w:b w:val="0"/>
        </w:rPr>
        <w:t>https://www.crtech.com/fluid-properties</w:t>
      </w:r>
    </w:p>
    <w:p w14:paraId="33EBBC5D" w14:textId="42314EA5" w:rsidR="00D25376" w:rsidRDefault="00E16FA6" w:rsidP="00E16FA6">
      <w:pPr>
        <w:pStyle w:val="FigureTitle"/>
        <w:jc w:val="both"/>
        <w:rPr>
          <w:rFonts w:asciiTheme="minorHAnsi" w:hAnsiTheme="minorHAnsi" w:cstheme="minorHAnsi"/>
          <w:b w:val="0"/>
        </w:rPr>
      </w:pPr>
      <w:r>
        <w:rPr>
          <w:rFonts w:asciiTheme="minorHAnsi" w:hAnsiTheme="minorHAnsi" w:cstheme="minorHAnsi"/>
          <w:b w:val="0"/>
        </w:rPr>
        <w:t xml:space="preserve">[8] </w:t>
      </w:r>
      <w:r w:rsidR="00D25376" w:rsidRPr="00DE44FE">
        <w:rPr>
          <w:rFonts w:asciiTheme="minorHAnsi" w:hAnsiTheme="minorHAnsi" w:cstheme="minorHAnsi"/>
          <w:b w:val="0"/>
        </w:rPr>
        <w:t>https://webbook.nist.gov/</w:t>
      </w:r>
    </w:p>
    <w:p w14:paraId="10CC03F6" w14:textId="010C7161" w:rsidR="00E16FA6" w:rsidRPr="00D56EA6" w:rsidRDefault="00E16FA6" w:rsidP="00D56EA6">
      <w:pPr>
        <w:pStyle w:val="FigureTitle"/>
        <w:jc w:val="both"/>
        <w:rPr>
          <w:rFonts w:asciiTheme="minorHAnsi" w:hAnsiTheme="minorHAnsi" w:cstheme="minorHAnsi"/>
          <w:b w:val="0"/>
        </w:rPr>
      </w:pPr>
    </w:p>
    <w:p w14:paraId="698945A2" w14:textId="77777777" w:rsidR="00D56EA6" w:rsidRPr="002F36EC" w:rsidRDefault="00D56EA6" w:rsidP="00D56EA6">
      <w:pPr>
        <w:jc w:val="both"/>
        <w:rPr>
          <w:color w:val="FF0000"/>
        </w:rPr>
      </w:pPr>
    </w:p>
    <w:p w14:paraId="21910F32" w14:textId="77777777" w:rsidR="00D56EA6" w:rsidRPr="003C081A" w:rsidRDefault="00D56EA6" w:rsidP="00D56EA6">
      <w:pPr>
        <w:jc w:val="both"/>
        <w:rPr>
          <w:color w:val="FF0000"/>
        </w:rPr>
      </w:pPr>
    </w:p>
    <w:p w14:paraId="466B812F" w14:textId="77777777" w:rsidR="00D56EA6" w:rsidRPr="003C081A" w:rsidRDefault="00D56EA6" w:rsidP="00D56EA6">
      <w:pPr>
        <w:jc w:val="both"/>
        <w:rPr>
          <w:color w:val="FF0000"/>
        </w:rPr>
      </w:pPr>
    </w:p>
    <w:p w14:paraId="4DBEE743" w14:textId="77777777" w:rsidR="00013CA5" w:rsidRDefault="00013CA5" w:rsidP="003A0D50">
      <w:pPr>
        <w:pStyle w:val="Body"/>
      </w:pPr>
    </w:p>
    <w:p w14:paraId="6C111E9F" w14:textId="77777777" w:rsidR="00013CA5" w:rsidRDefault="00013CA5" w:rsidP="003A0D50"/>
    <w:p w14:paraId="67D0AD00" w14:textId="77777777" w:rsidR="00013CA5" w:rsidRDefault="00013CA5" w:rsidP="003A0D50"/>
    <w:p w14:paraId="4B89C0ED" w14:textId="77777777" w:rsidR="00013CA5" w:rsidRDefault="00013CA5" w:rsidP="003A0D50"/>
    <w:sectPr w:rsidR="00013CA5" w:rsidSect="009B3781">
      <w:footerReference w:type="even" r:id="rId33"/>
      <w:footerReference w:type="default" r:id="rId3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58535" w14:textId="77777777" w:rsidR="005B1D4C" w:rsidRDefault="005B1D4C" w:rsidP="003A0D50">
      <w:r>
        <w:separator/>
      </w:r>
    </w:p>
  </w:endnote>
  <w:endnote w:type="continuationSeparator" w:id="0">
    <w:p w14:paraId="5F5FC2EF" w14:textId="77777777" w:rsidR="005B1D4C" w:rsidRDefault="005B1D4C" w:rsidP="003A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23B8" w14:textId="77777777" w:rsidR="00D25376" w:rsidRDefault="00D25376" w:rsidP="003A0D5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9D9FA66" w14:textId="77777777" w:rsidR="00D25376" w:rsidRDefault="00D25376" w:rsidP="003A0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F186" w14:textId="77777777" w:rsidR="00D25376" w:rsidRDefault="00D25376" w:rsidP="003A0D50">
    <w:pPr>
      <w:pStyle w:val="Footer"/>
      <w:rPr>
        <w:rStyle w:val="PageNumber"/>
      </w:rPr>
    </w:pPr>
  </w:p>
  <w:p w14:paraId="4ABF7E97" w14:textId="3F9C89A2" w:rsidR="00D25376" w:rsidRPr="004F19FC" w:rsidRDefault="00D25376" w:rsidP="004F19FC">
    <w:pPr>
      <w:pStyle w:val="Footer"/>
      <w:tabs>
        <w:tab w:val="clear" w:pos="8640"/>
        <w:tab w:val="right" w:pos="9270"/>
      </w:tabs>
      <w:rPr>
        <w:sz w:val="20"/>
      </w:rPr>
    </w:pPr>
    <w:r w:rsidRPr="004F19FC">
      <w:rPr>
        <w:sz w:val="20"/>
      </w:rPr>
      <w:tab/>
    </w:r>
    <w:r>
      <w:rPr>
        <w:sz w:val="20"/>
      </w:rPr>
      <w:t>TFAWS 2020 – August 18-20, 2020</w:t>
    </w:r>
    <w:r w:rsidRPr="004F19FC">
      <w:rPr>
        <w:sz w:val="20"/>
      </w:rPr>
      <w:tab/>
    </w:r>
    <w:r w:rsidRPr="004F19FC">
      <w:rPr>
        <w:sz w:val="20"/>
      </w:rPr>
      <w:fldChar w:fldCharType="begin"/>
    </w:r>
    <w:r w:rsidRPr="004F19FC">
      <w:rPr>
        <w:sz w:val="20"/>
      </w:rPr>
      <w:instrText xml:space="preserve"> PAGE  \* Arabic  \* MERGEFORMAT </w:instrText>
    </w:r>
    <w:r w:rsidRPr="004F19FC">
      <w:rPr>
        <w:sz w:val="20"/>
      </w:rPr>
      <w:fldChar w:fldCharType="separate"/>
    </w:r>
    <w:r w:rsidR="00000704">
      <w:rPr>
        <w:noProof/>
        <w:sz w:val="20"/>
      </w:rPr>
      <w:t>10</w:t>
    </w:r>
    <w:r w:rsidRPr="004F19FC">
      <w:rPr>
        <w:sz w:val="20"/>
      </w:rPr>
      <w:fldChar w:fldCharType="end"/>
    </w:r>
    <w:r w:rsidRPr="004F19FC">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D22D7" w14:textId="77777777" w:rsidR="005B1D4C" w:rsidRDefault="005B1D4C" w:rsidP="003A0D50">
      <w:r>
        <w:separator/>
      </w:r>
    </w:p>
  </w:footnote>
  <w:footnote w:type="continuationSeparator" w:id="0">
    <w:p w14:paraId="4773C8F6" w14:textId="77777777" w:rsidR="005B1D4C" w:rsidRDefault="005B1D4C" w:rsidP="003A0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7936AA5"/>
    <w:multiLevelType w:val="hybridMultilevel"/>
    <w:tmpl w:val="FA0A0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F8C526A"/>
    <w:multiLevelType w:val="singleLevel"/>
    <w:tmpl w:val="F2CAEF36"/>
    <w:lvl w:ilvl="0">
      <w:start w:val="1"/>
      <w:numFmt w:val="decimal"/>
      <w:lvlText w:val="%1."/>
      <w:legacy w:legacy="1" w:legacySpace="0" w:legacyIndent="360"/>
      <w:lvlJc w:val="left"/>
      <w:pPr>
        <w:ind w:left="360" w:hanging="360"/>
      </w:pPr>
    </w:lvl>
  </w:abstractNum>
  <w:abstractNum w:abstractNumId="3" w15:restartNumberingAfterBreak="0">
    <w:nsid w:val="48BA3DF8"/>
    <w:multiLevelType w:val="hybridMultilevel"/>
    <w:tmpl w:val="A30C6BAA"/>
    <w:lvl w:ilvl="0" w:tplc="EABCC59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494D4A"/>
    <w:multiLevelType w:val="hybridMultilevel"/>
    <w:tmpl w:val="1A904E92"/>
    <w:lvl w:ilvl="0" w:tplc="9A7C00A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F31B00"/>
    <w:multiLevelType w:val="hybridMultilevel"/>
    <w:tmpl w:val="0BEE03D4"/>
    <w:lvl w:ilvl="0" w:tplc="2578BE1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531683"/>
    <w:multiLevelType w:val="hybridMultilevel"/>
    <w:tmpl w:val="96D00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CBF201D"/>
    <w:multiLevelType w:val="hybridMultilevel"/>
    <w:tmpl w:val="56E6305A"/>
    <w:lvl w:ilvl="0" w:tplc="463E4F90">
      <w:start w:val="1"/>
      <w:numFmt w:val="bullet"/>
      <w:lvlText w:val="•"/>
      <w:lvlJc w:val="left"/>
      <w:pPr>
        <w:tabs>
          <w:tab w:val="num" w:pos="720"/>
        </w:tabs>
        <w:ind w:left="720" w:hanging="360"/>
      </w:pPr>
      <w:rPr>
        <w:rFonts w:ascii="Arial" w:hAnsi="Arial" w:hint="default"/>
      </w:rPr>
    </w:lvl>
    <w:lvl w:ilvl="1" w:tplc="BDF6006E" w:tentative="1">
      <w:start w:val="1"/>
      <w:numFmt w:val="bullet"/>
      <w:lvlText w:val="•"/>
      <w:lvlJc w:val="left"/>
      <w:pPr>
        <w:tabs>
          <w:tab w:val="num" w:pos="1440"/>
        </w:tabs>
        <w:ind w:left="1440" w:hanging="360"/>
      </w:pPr>
      <w:rPr>
        <w:rFonts w:ascii="Arial" w:hAnsi="Arial" w:hint="default"/>
      </w:rPr>
    </w:lvl>
    <w:lvl w:ilvl="2" w:tplc="F7ECAD6C" w:tentative="1">
      <w:start w:val="1"/>
      <w:numFmt w:val="bullet"/>
      <w:lvlText w:val="•"/>
      <w:lvlJc w:val="left"/>
      <w:pPr>
        <w:tabs>
          <w:tab w:val="num" w:pos="2160"/>
        </w:tabs>
        <w:ind w:left="2160" w:hanging="360"/>
      </w:pPr>
      <w:rPr>
        <w:rFonts w:ascii="Arial" w:hAnsi="Arial" w:hint="default"/>
      </w:rPr>
    </w:lvl>
    <w:lvl w:ilvl="3" w:tplc="A894BAC8" w:tentative="1">
      <w:start w:val="1"/>
      <w:numFmt w:val="bullet"/>
      <w:lvlText w:val="•"/>
      <w:lvlJc w:val="left"/>
      <w:pPr>
        <w:tabs>
          <w:tab w:val="num" w:pos="2880"/>
        </w:tabs>
        <w:ind w:left="2880" w:hanging="360"/>
      </w:pPr>
      <w:rPr>
        <w:rFonts w:ascii="Arial" w:hAnsi="Arial" w:hint="default"/>
      </w:rPr>
    </w:lvl>
    <w:lvl w:ilvl="4" w:tplc="35EC1402" w:tentative="1">
      <w:start w:val="1"/>
      <w:numFmt w:val="bullet"/>
      <w:lvlText w:val="•"/>
      <w:lvlJc w:val="left"/>
      <w:pPr>
        <w:tabs>
          <w:tab w:val="num" w:pos="3600"/>
        </w:tabs>
        <w:ind w:left="3600" w:hanging="360"/>
      </w:pPr>
      <w:rPr>
        <w:rFonts w:ascii="Arial" w:hAnsi="Arial" w:hint="default"/>
      </w:rPr>
    </w:lvl>
    <w:lvl w:ilvl="5" w:tplc="FBC0BC8A" w:tentative="1">
      <w:start w:val="1"/>
      <w:numFmt w:val="bullet"/>
      <w:lvlText w:val="•"/>
      <w:lvlJc w:val="left"/>
      <w:pPr>
        <w:tabs>
          <w:tab w:val="num" w:pos="4320"/>
        </w:tabs>
        <w:ind w:left="4320" w:hanging="360"/>
      </w:pPr>
      <w:rPr>
        <w:rFonts w:ascii="Arial" w:hAnsi="Arial" w:hint="default"/>
      </w:rPr>
    </w:lvl>
    <w:lvl w:ilvl="6" w:tplc="9EF24A70" w:tentative="1">
      <w:start w:val="1"/>
      <w:numFmt w:val="bullet"/>
      <w:lvlText w:val="•"/>
      <w:lvlJc w:val="left"/>
      <w:pPr>
        <w:tabs>
          <w:tab w:val="num" w:pos="5040"/>
        </w:tabs>
        <w:ind w:left="5040" w:hanging="360"/>
      </w:pPr>
      <w:rPr>
        <w:rFonts w:ascii="Arial" w:hAnsi="Arial" w:hint="default"/>
      </w:rPr>
    </w:lvl>
    <w:lvl w:ilvl="7" w:tplc="11D431D2" w:tentative="1">
      <w:start w:val="1"/>
      <w:numFmt w:val="bullet"/>
      <w:lvlText w:val="•"/>
      <w:lvlJc w:val="left"/>
      <w:pPr>
        <w:tabs>
          <w:tab w:val="num" w:pos="5760"/>
        </w:tabs>
        <w:ind w:left="5760" w:hanging="360"/>
      </w:pPr>
      <w:rPr>
        <w:rFonts w:ascii="Arial" w:hAnsi="Arial" w:hint="default"/>
      </w:rPr>
    </w:lvl>
    <w:lvl w:ilvl="8" w:tplc="A744504C"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num>
  <w:num w:numId="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abstractNumId w:val="1"/>
  </w:num>
  <w:num w:numId="5">
    <w:abstractNumId w:val="3"/>
  </w:num>
  <w:num w:numId="6">
    <w:abstractNumId w:val="6"/>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BF"/>
    <w:rsid w:val="00000704"/>
    <w:rsid w:val="0000466F"/>
    <w:rsid w:val="00013CA5"/>
    <w:rsid w:val="00032BD0"/>
    <w:rsid w:val="000A0F61"/>
    <w:rsid w:val="000A1604"/>
    <w:rsid w:val="000A38CD"/>
    <w:rsid w:val="000B394A"/>
    <w:rsid w:val="000D2870"/>
    <w:rsid w:val="000D4EA1"/>
    <w:rsid w:val="000E68F8"/>
    <w:rsid w:val="000E745A"/>
    <w:rsid w:val="000F29D9"/>
    <w:rsid w:val="00135D0C"/>
    <w:rsid w:val="00146E85"/>
    <w:rsid w:val="001707E4"/>
    <w:rsid w:val="001760B9"/>
    <w:rsid w:val="00180EF3"/>
    <w:rsid w:val="001825F7"/>
    <w:rsid w:val="001E63E0"/>
    <w:rsid w:val="0021265C"/>
    <w:rsid w:val="002177A9"/>
    <w:rsid w:val="002247A8"/>
    <w:rsid w:val="002266FF"/>
    <w:rsid w:val="00232A1E"/>
    <w:rsid w:val="00233B34"/>
    <w:rsid w:val="00236466"/>
    <w:rsid w:val="002578F1"/>
    <w:rsid w:val="00283BE6"/>
    <w:rsid w:val="002A66CF"/>
    <w:rsid w:val="002C1095"/>
    <w:rsid w:val="002F36EC"/>
    <w:rsid w:val="002F71B7"/>
    <w:rsid w:val="00381088"/>
    <w:rsid w:val="003904E0"/>
    <w:rsid w:val="00392C24"/>
    <w:rsid w:val="003A0D50"/>
    <w:rsid w:val="003A4245"/>
    <w:rsid w:val="003A6586"/>
    <w:rsid w:val="003C081A"/>
    <w:rsid w:val="003C0CA5"/>
    <w:rsid w:val="003C203B"/>
    <w:rsid w:val="003E124C"/>
    <w:rsid w:val="003E13BE"/>
    <w:rsid w:val="004428F4"/>
    <w:rsid w:val="004B4E4B"/>
    <w:rsid w:val="004C3A8E"/>
    <w:rsid w:val="004F19FC"/>
    <w:rsid w:val="004F62B0"/>
    <w:rsid w:val="005556BD"/>
    <w:rsid w:val="00574959"/>
    <w:rsid w:val="00587C3E"/>
    <w:rsid w:val="00591B59"/>
    <w:rsid w:val="005B0399"/>
    <w:rsid w:val="005B1D4C"/>
    <w:rsid w:val="005D7DFC"/>
    <w:rsid w:val="0062439E"/>
    <w:rsid w:val="00633D4A"/>
    <w:rsid w:val="00671161"/>
    <w:rsid w:val="00682FC5"/>
    <w:rsid w:val="006A3EDE"/>
    <w:rsid w:val="006A4826"/>
    <w:rsid w:val="006A7383"/>
    <w:rsid w:val="006C72EC"/>
    <w:rsid w:val="006D444D"/>
    <w:rsid w:val="007046CE"/>
    <w:rsid w:val="00744D32"/>
    <w:rsid w:val="00763D4A"/>
    <w:rsid w:val="007678DA"/>
    <w:rsid w:val="007A3ABC"/>
    <w:rsid w:val="007A4246"/>
    <w:rsid w:val="007A5AA9"/>
    <w:rsid w:val="007F72A2"/>
    <w:rsid w:val="00813D35"/>
    <w:rsid w:val="008170B7"/>
    <w:rsid w:val="00832205"/>
    <w:rsid w:val="00842F6C"/>
    <w:rsid w:val="00872A10"/>
    <w:rsid w:val="008B1925"/>
    <w:rsid w:val="008B53FB"/>
    <w:rsid w:val="008C34F0"/>
    <w:rsid w:val="008C7E0E"/>
    <w:rsid w:val="00932106"/>
    <w:rsid w:val="009442FA"/>
    <w:rsid w:val="00953BAB"/>
    <w:rsid w:val="00986448"/>
    <w:rsid w:val="009930CE"/>
    <w:rsid w:val="009940BF"/>
    <w:rsid w:val="009A343A"/>
    <w:rsid w:val="009B3781"/>
    <w:rsid w:val="009E7892"/>
    <w:rsid w:val="009F1500"/>
    <w:rsid w:val="00A03594"/>
    <w:rsid w:val="00A138EE"/>
    <w:rsid w:val="00A14560"/>
    <w:rsid w:val="00A20014"/>
    <w:rsid w:val="00A24925"/>
    <w:rsid w:val="00A25A3E"/>
    <w:rsid w:val="00A528EE"/>
    <w:rsid w:val="00A544B0"/>
    <w:rsid w:val="00A74398"/>
    <w:rsid w:val="00A75FB3"/>
    <w:rsid w:val="00A972DB"/>
    <w:rsid w:val="00AC326F"/>
    <w:rsid w:val="00B22B9F"/>
    <w:rsid w:val="00B230EF"/>
    <w:rsid w:val="00B34FCF"/>
    <w:rsid w:val="00B47BB8"/>
    <w:rsid w:val="00BB4960"/>
    <w:rsid w:val="00BC3809"/>
    <w:rsid w:val="00BD633B"/>
    <w:rsid w:val="00BE3E67"/>
    <w:rsid w:val="00BF0740"/>
    <w:rsid w:val="00C07640"/>
    <w:rsid w:val="00C45BA8"/>
    <w:rsid w:val="00C52105"/>
    <w:rsid w:val="00C57311"/>
    <w:rsid w:val="00C76D16"/>
    <w:rsid w:val="00CC29B5"/>
    <w:rsid w:val="00CC5EAF"/>
    <w:rsid w:val="00CE6B4C"/>
    <w:rsid w:val="00CF3CF3"/>
    <w:rsid w:val="00D14DDC"/>
    <w:rsid w:val="00D25376"/>
    <w:rsid w:val="00D44D99"/>
    <w:rsid w:val="00D55927"/>
    <w:rsid w:val="00D56EA6"/>
    <w:rsid w:val="00D574D6"/>
    <w:rsid w:val="00D61346"/>
    <w:rsid w:val="00D747DC"/>
    <w:rsid w:val="00D77230"/>
    <w:rsid w:val="00DC754C"/>
    <w:rsid w:val="00DD13D8"/>
    <w:rsid w:val="00DE44FE"/>
    <w:rsid w:val="00E071F4"/>
    <w:rsid w:val="00E16FA6"/>
    <w:rsid w:val="00E32598"/>
    <w:rsid w:val="00E36423"/>
    <w:rsid w:val="00E523F5"/>
    <w:rsid w:val="00E54BF6"/>
    <w:rsid w:val="00E71BD6"/>
    <w:rsid w:val="00E73AD4"/>
    <w:rsid w:val="00EA4836"/>
    <w:rsid w:val="00EB5B7E"/>
    <w:rsid w:val="00EC0791"/>
    <w:rsid w:val="00ED241D"/>
    <w:rsid w:val="00EF0CCC"/>
    <w:rsid w:val="00EF4918"/>
    <w:rsid w:val="00F01FB4"/>
    <w:rsid w:val="00F245BF"/>
    <w:rsid w:val="00F24E15"/>
    <w:rsid w:val="00F30670"/>
    <w:rsid w:val="00F8516B"/>
    <w:rsid w:val="00F85340"/>
    <w:rsid w:val="00FC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3D2768"/>
  <w15:chartTrackingRefBased/>
  <w15:docId w15:val="{6FB7ADA6-4E89-4E92-A035-B2729648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F2"/>
    <w:pPr>
      <w:spacing w:after="240"/>
    </w:pPr>
    <w:rPr>
      <w:rFonts w:ascii="Calibri" w:hAnsi="Calibri"/>
      <w:sz w:val="24"/>
    </w:rPr>
  </w:style>
  <w:style w:type="paragraph" w:styleId="Heading1">
    <w:name w:val="heading 1"/>
    <w:basedOn w:val="AbstractHeading"/>
    <w:next w:val="Normal"/>
    <w:qFormat/>
    <w:rsid w:val="000F29D9"/>
    <w:pPr>
      <w:spacing w:before="240" w:after="120"/>
      <w:outlineLvl w:val="0"/>
    </w:pPr>
  </w:style>
  <w:style w:type="paragraph" w:styleId="Heading2">
    <w:name w:val="heading 2"/>
    <w:basedOn w:val="Normal"/>
    <w:next w:val="Normal"/>
    <w:qFormat/>
    <w:rsid w:val="00EF0CCC"/>
    <w:pPr>
      <w:keepNext/>
      <w:spacing w:before="240" w:after="60"/>
      <w:outlineLvl w:val="1"/>
    </w:pPr>
    <w:rPr>
      <w:bCs/>
      <w:iCs/>
      <w:szCs w:val="24"/>
      <w:u w:val="single"/>
    </w:rPr>
  </w:style>
  <w:style w:type="paragraph" w:styleId="Heading3">
    <w:name w:val="heading 3"/>
    <w:basedOn w:val="PaperSubSubHeading"/>
    <w:next w:val="Normal"/>
    <w:link w:val="Heading3Char"/>
    <w:uiPriority w:val="9"/>
    <w:qFormat/>
    <w:rsid w:val="000F29D9"/>
    <w:pPr>
      <w:spacing w:before="120" w:after="0"/>
      <w:ind w:left="720"/>
      <w:outlineLvl w:val="2"/>
    </w:pPr>
    <w:rPr>
      <w:rFonts w:ascii="Times New Roman" w:hAnsi="Times New Roman"/>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Author">
    <w:name w:val="Author"/>
    <w:basedOn w:val="Normal"/>
    <w:pPr>
      <w:spacing w:before="240" w:line="280" w:lineRule="exact"/>
      <w:jc w:val="right"/>
    </w:pPr>
    <w:rPr>
      <w:rFonts w:ascii="Helvetica" w:hAnsi="Helvetica"/>
      <w:b/>
    </w:rPr>
  </w:style>
  <w:style w:type="paragraph" w:customStyle="1" w:styleId="Affiliation">
    <w:name w:val="Affiliation"/>
    <w:basedOn w:val="Normal"/>
    <w:pPr>
      <w:spacing w:line="240" w:lineRule="exact"/>
      <w:jc w:val="right"/>
    </w:pPr>
    <w:rPr>
      <w:rFonts w:ascii="Helvetica" w:hAnsi="Helvetica"/>
    </w:rPr>
  </w:style>
  <w:style w:type="paragraph" w:styleId="BodyText2">
    <w:name w:val="Body Text 2"/>
    <w:basedOn w:val="Normal"/>
    <w:semiHidden/>
  </w:style>
  <w:style w:type="paragraph" w:customStyle="1" w:styleId="PaperHeadings">
    <w:name w:val="PaperHeadings"/>
    <w:basedOn w:val="Normal"/>
    <w:next w:val="BodyText"/>
    <w:pPr>
      <w:keepNext/>
      <w:spacing w:before="480"/>
    </w:pPr>
    <w:rPr>
      <w:b/>
      <w:caps/>
    </w:rPr>
  </w:style>
  <w:style w:type="paragraph" w:styleId="BodyText">
    <w:name w:val="Body Text"/>
    <w:basedOn w:val="Normal"/>
    <w:semiHidden/>
    <w:pPr>
      <w:spacing w:after="120"/>
    </w:pPr>
  </w:style>
  <w:style w:type="paragraph" w:customStyle="1" w:styleId="AbstractHeading">
    <w:name w:val="AbstractHeading"/>
    <w:basedOn w:val="PaperHeadings"/>
  </w:style>
  <w:style w:type="paragraph" w:customStyle="1" w:styleId="PaperSubHeadings">
    <w:name w:val="PaperSubHeadings"/>
    <w:basedOn w:val="Normal"/>
    <w:pPr>
      <w:keepNext/>
      <w:spacing w:before="480"/>
    </w:pPr>
    <w:rPr>
      <w:caps/>
    </w:rPr>
  </w:style>
  <w:style w:type="paragraph" w:customStyle="1" w:styleId="PaperSubSubHeading">
    <w:name w:val="PaperSubSubHeading"/>
    <w:basedOn w:val="Normal"/>
    <w:pPr>
      <w:keepNext/>
      <w:spacing w:before="480"/>
      <w:jc w:val="both"/>
    </w:pPr>
    <w:rPr>
      <w:u w:val="single"/>
    </w:rPr>
  </w:style>
  <w:style w:type="paragraph" w:customStyle="1" w:styleId="PaperTitle">
    <w:name w:val="PaperTitle"/>
    <w:basedOn w:val="Normal"/>
    <w:qFormat/>
    <w:rsid w:val="000F29D9"/>
    <w:pPr>
      <w:spacing w:after="360"/>
      <w:jc w:val="center"/>
    </w:pPr>
    <w:rPr>
      <w:b/>
      <w:caps/>
      <w:sz w:val="28"/>
    </w:rPr>
  </w:style>
  <w:style w:type="paragraph" w:customStyle="1" w:styleId="Body">
    <w:name w:val="Body"/>
    <w:basedOn w:val="Normal"/>
    <w:pPr>
      <w:jc w:val="both"/>
    </w:pPr>
    <w:rPr>
      <w:rFonts w:ascii="Helvetica" w:hAnsi="Helvetica"/>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TableTitle">
    <w:name w:val="TableTitle"/>
    <w:basedOn w:val="FigureTitle"/>
    <w:pPr>
      <w:keepNext/>
    </w:pPr>
  </w:style>
  <w:style w:type="paragraph" w:customStyle="1" w:styleId="FigureTitle">
    <w:name w:val="FigureTitle"/>
    <w:basedOn w:val="BodyText"/>
    <w:pPr>
      <w:jc w:val="center"/>
    </w:pPr>
    <w:rPr>
      <w:rFonts w:ascii="Times" w:hAnsi="Times"/>
      <w:b/>
    </w:rPr>
  </w:style>
  <w:style w:type="paragraph" w:styleId="Caption">
    <w:name w:val="caption"/>
    <w:aliases w:val="Caption - Table"/>
    <w:basedOn w:val="Normal"/>
    <w:next w:val="Normal"/>
    <w:uiPriority w:val="35"/>
    <w:qFormat/>
    <w:rsid w:val="00C52105"/>
    <w:pPr>
      <w:keepNext/>
      <w:spacing w:after="120"/>
      <w:jc w:val="center"/>
    </w:pPr>
    <w:rPr>
      <w:b/>
      <w:bCs/>
      <w:szCs w:val="24"/>
    </w:rPr>
  </w:style>
  <w:style w:type="paragraph" w:customStyle="1" w:styleId="Caption-Figure">
    <w:name w:val="Caption - Figure"/>
    <w:basedOn w:val="Caption"/>
    <w:qFormat/>
    <w:rsid w:val="00EF0CCC"/>
    <w:pPr>
      <w:keepNext w:val="0"/>
    </w:pPr>
  </w:style>
  <w:style w:type="paragraph" w:customStyle="1" w:styleId="AuthorName">
    <w:name w:val="AuthorName"/>
    <w:basedOn w:val="Normal"/>
    <w:link w:val="AuthorNameChar"/>
    <w:qFormat/>
    <w:rsid w:val="000F29D9"/>
    <w:pPr>
      <w:spacing w:after="0"/>
      <w:jc w:val="center"/>
    </w:pPr>
    <w:rPr>
      <w:rFonts w:ascii="Times New Roman" w:hAnsi="Times New Roman"/>
      <w:b/>
      <w:lang w:val="x-none" w:eastAsia="x-none"/>
    </w:rPr>
  </w:style>
  <w:style w:type="paragraph" w:customStyle="1" w:styleId="AuthorAffiliation">
    <w:name w:val="AuthorAffiliation"/>
    <w:basedOn w:val="Normal"/>
    <w:link w:val="AuthorAffiliationChar"/>
    <w:qFormat/>
    <w:rsid w:val="000F29D9"/>
    <w:pPr>
      <w:spacing w:after="360"/>
      <w:jc w:val="center"/>
    </w:pPr>
    <w:rPr>
      <w:rFonts w:ascii="Times New Roman" w:hAnsi="Times New Roman"/>
      <w:lang w:val="x-none" w:eastAsia="x-none"/>
    </w:rPr>
  </w:style>
  <w:style w:type="character" w:customStyle="1" w:styleId="AuthorNameChar">
    <w:name w:val="AuthorName Char"/>
    <w:link w:val="AuthorName"/>
    <w:rsid w:val="000F29D9"/>
    <w:rPr>
      <w:rFonts w:ascii="Times New Roman" w:hAnsi="Times New Roman"/>
      <w:b/>
      <w:sz w:val="24"/>
    </w:rPr>
  </w:style>
  <w:style w:type="paragraph" w:customStyle="1" w:styleId="BulletedList">
    <w:name w:val="Bulleted List"/>
    <w:basedOn w:val="Normal"/>
    <w:link w:val="BulletedListChar"/>
    <w:qFormat/>
    <w:rsid w:val="000F29D9"/>
    <w:pPr>
      <w:numPr>
        <w:numId w:val="7"/>
      </w:numPr>
      <w:spacing w:after="120"/>
    </w:pPr>
    <w:rPr>
      <w:rFonts w:ascii="Times New Roman" w:hAnsi="Times New Roman"/>
      <w:lang w:val="x-none" w:eastAsia="x-none"/>
    </w:rPr>
  </w:style>
  <w:style w:type="character" w:customStyle="1" w:styleId="AuthorAffiliationChar">
    <w:name w:val="AuthorAffiliation Char"/>
    <w:link w:val="AuthorAffiliation"/>
    <w:rsid w:val="000F29D9"/>
    <w:rPr>
      <w:rFonts w:ascii="Times New Roman" w:hAnsi="Times New Roman"/>
      <w:sz w:val="24"/>
    </w:rPr>
  </w:style>
  <w:style w:type="paragraph" w:customStyle="1" w:styleId="NumberedList">
    <w:name w:val="Numbered List"/>
    <w:basedOn w:val="Normal"/>
    <w:link w:val="NumberedListChar"/>
    <w:qFormat/>
    <w:rsid w:val="000F29D9"/>
    <w:pPr>
      <w:numPr>
        <w:numId w:val="8"/>
      </w:numPr>
      <w:spacing w:after="120"/>
    </w:pPr>
    <w:rPr>
      <w:rFonts w:ascii="Times New Roman" w:hAnsi="Times New Roman"/>
      <w:lang w:val="x-none" w:eastAsia="x-none"/>
    </w:rPr>
  </w:style>
  <w:style w:type="character" w:customStyle="1" w:styleId="BulletedListChar">
    <w:name w:val="Bulleted List Char"/>
    <w:link w:val="BulletedList"/>
    <w:rsid w:val="000F29D9"/>
    <w:rPr>
      <w:rFonts w:ascii="Times New Roman" w:hAnsi="Times New Roman"/>
      <w:sz w:val="24"/>
    </w:rPr>
  </w:style>
  <w:style w:type="character" w:customStyle="1" w:styleId="Heading3Char">
    <w:name w:val="Heading 3 Char"/>
    <w:link w:val="Heading3"/>
    <w:uiPriority w:val="9"/>
    <w:rsid w:val="000F29D9"/>
    <w:rPr>
      <w:rFonts w:ascii="Times New Roman" w:hAnsi="Times New Roman"/>
      <w:i/>
      <w:sz w:val="24"/>
      <w:u w:val="single"/>
    </w:rPr>
  </w:style>
  <w:style w:type="character" w:customStyle="1" w:styleId="NumberedListChar">
    <w:name w:val="Numbered List Char"/>
    <w:link w:val="NumberedList"/>
    <w:rsid w:val="000F29D9"/>
    <w:rPr>
      <w:rFonts w:ascii="Times New Roman" w:hAnsi="Times New Roman"/>
      <w:sz w:val="24"/>
    </w:rPr>
  </w:style>
  <w:style w:type="character" w:styleId="CommentReference">
    <w:name w:val="annotation reference"/>
    <w:basedOn w:val="DefaultParagraphFont"/>
    <w:uiPriority w:val="99"/>
    <w:semiHidden/>
    <w:unhideWhenUsed/>
    <w:rsid w:val="0062439E"/>
    <w:rPr>
      <w:sz w:val="16"/>
      <w:szCs w:val="16"/>
    </w:rPr>
  </w:style>
  <w:style w:type="paragraph" w:styleId="CommentText">
    <w:name w:val="annotation text"/>
    <w:basedOn w:val="Normal"/>
    <w:link w:val="CommentTextChar"/>
    <w:uiPriority w:val="99"/>
    <w:semiHidden/>
    <w:unhideWhenUsed/>
    <w:rsid w:val="0062439E"/>
    <w:rPr>
      <w:sz w:val="20"/>
    </w:rPr>
  </w:style>
  <w:style w:type="character" w:customStyle="1" w:styleId="CommentTextChar">
    <w:name w:val="Comment Text Char"/>
    <w:basedOn w:val="DefaultParagraphFont"/>
    <w:link w:val="CommentText"/>
    <w:uiPriority w:val="99"/>
    <w:semiHidden/>
    <w:rsid w:val="0062439E"/>
    <w:rPr>
      <w:rFonts w:ascii="Calibri" w:hAnsi="Calibri"/>
    </w:rPr>
  </w:style>
  <w:style w:type="paragraph" w:styleId="CommentSubject">
    <w:name w:val="annotation subject"/>
    <w:basedOn w:val="CommentText"/>
    <w:next w:val="CommentText"/>
    <w:link w:val="CommentSubjectChar"/>
    <w:uiPriority w:val="99"/>
    <w:semiHidden/>
    <w:unhideWhenUsed/>
    <w:rsid w:val="0062439E"/>
    <w:rPr>
      <w:b/>
      <w:bCs/>
    </w:rPr>
  </w:style>
  <w:style w:type="character" w:customStyle="1" w:styleId="CommentSubjectChar">
    <w:name w:val="Comment Subject Char"/>
    <w:basedOn w:val="CommentTextChar"/>
    <w:link w:val="CommentSubject"/>
    <w:uiPriority w:val="99"/>
    <w:semiHidden/>
    <w:rsid w:val="0062439E"/>
    <w:rPr>
      <w:rFonts w:ascii="Calibri" w:hAnsi="Calibri"/>
      <w:b/>
      <w:bCs/>
    </w:rPr>
  </w:style>
  <w:style w:type="paragraph" w:styleId="BalloonText">
    <w:name w:val="Balloon Text"/>
    <w:basedOn w:val="Normal"/>
    <w:link w:val="BalloonTextChar"/>
    <w:uiPriority w:val="99"/>
    <w:semiHidden/>
    <w:unhideWhenUsed/>
    <w:rsid w:val="0062439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39E"/>
    <w:rPr>
      <w:rFonts w:ascii="Segoe UI" w:hAnsi="Segoe UI" w:cs="Segoe UI"/>
      <w:sz w:val="18"/>
      <w:szCs w:val="18"/>
    </w:rPr>
  </w:style>
  <w:style w:type="table" w:styleId="TableGrid">
    <w:name w:val="Table Grid"/>
    <w:basedOn w:val="TableNormal"/>
    <w:uiPriority w:val="59"/>
    <w:rsid w:val="00E32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3AD4"/>
    <w:rPr>
      <w:color w:val="0563C1" w:themeColor="hyperlink"/>
      <w:u w:val="single"/>
    </w:rPr>
  </w:style>
  <w:style w:type="paragraph" w:styleId="ListParagraph">
    <w:name w:val="List Paragraph"/>
    <w:basedOn w:val="Normal"/>
    <w:uiPriority w:val="34"/>
    <w:qFormat/>
    <w:rsid w:val="00953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302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76">
          <w:marLeft w:val="360"/>
          <w:marRight w:val="0"/>
          <w:marTop w:val="200"/>
          <w:marBottom w:val="0"/>
          <w:divBdr>
            <w:top w:val="none" w:sz="0" w:space="0" w:color="auto"/>
            <w:left w:val="none" w:sz="0" w:space="0" w:color="auto"/>
            <w:bottom w:val="none" w:sz="0" w:space="0" w:color="auto"/>
            <w:right w:val="none" w:sz="0" w:space="0" w:color="auto"/>
          </w:divBdr>
        </w:div>
      </w:divsChild>
    </w:div>
    <w:div w:id="178056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hyperlink" Target="https://www.cpp.edu/faculty/kranderson1/index.shtml" TargetMode="Externa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hyperlink" Target="mailto:kranderson1@cpp.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81E6096581544AB88C532C51559CE4" ma:contentTypeVersion="10" ma:contentTypeDescription="Create a new document." ma:contentTypeScope="" ma:versionID="da06799642b4570517a09e5e82af0b73">
  <xsd:schema xmlns:xsd="http://www.w3.org/2001/XMLSchema" xmlns:xs="http://www.w3.org/2001/XMLSchema" xmlns:p="http://schemas.microsoft.com/office/2006/metadata/properties" xmlns:ns2="d0ad1b5e-1c75-4129-8b2f-4f26d4299fac" xmlns:ns3="c7972e1d-f9ab-47c9-9276-c12ebbd59dbe" targetNamespace="http://schemas.microsoft.com/office/2006/metadata/properties" ma:root="true" ma:fieldsID="3219fd8ced4d46c11ad92d06ab2587b1" ns2:_="" ns3:_="">
    <xsd:import namespace="d0ad1b5e-1c75-4129-8b2f-4f26d4299fac"/>
    <xsd:import namespace="c7972e1d-f9ab-47c9-9276-c12ebbd59d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d1b5e-1c75-4129-8b2f-4f26d4299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972e1d-f9ab-47c9-9276-c12ebbd59d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05BC6-E30F-482E-8C81-2BCDBEC22C41}">
  <ds:schemaRefs>
    <ds:schemaRef ds:uri="http://schemas.microsoft.com/sharepoint/v3/contenttype/forms"/>
  </ds:schemaRefs>
</ds:datastoreItem>
</file>

<file path=customXml/itemProps2.xml><?xml version="1.0" encoding="utf-8"?>
<ds:datastoreItem xmlns:ds="http://schemas.openxmlformats.org/officeDocument/2006/customXml" ds:itemID="{4A825E8C-F09A-413A-9057-C451A070F1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5E55F3-42EC-4C55-A6C8-3702EFB1D10C}"/>
</file>

<file path=customXml/itemProps4.xml><?xml version="1.0" encoding="utf-8"?>
<ds:datastoreItem xmlns:ds="http://schemas.openxmlformats.org/officeDocument/2006/customXml" ds:itemID="{4283E87E-B547-4217-8771-BFD50606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2703</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Sverdrup Technology, Inc</Company>
  <LinksUpToDate>false</LinksUpToDate>
  <CharactersWithSpaces>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Ruth Amundsen</dc:creator>
  <cp:keywords/>
  <dc:description>Please use styles to help make standardization of paper manuscripts easier.</dc:description>
  <cp:lastModifiedBy>Scammell, Alexander D. (LARC-D206)</cp:lastModifiedBy>
  <cp:revision>2</cp:revision>
  <cp:lastPrinted>2020-07-13T02:27:00Z</cp:lastPrinted>
  <dcterms:created xsi:type="dcterms:W3CDTF">2020-08-12T00:17:00Z</dcterms:created>
  <dcterms:modified xsi:type="dcterms:W3CDTF">2020-08-12T00:17:00Z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0x0101006781E6096581544AB88C532C51559CE4</vt:lpwstr>
  </property>
</Properties>
</file>